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离心泵招标采购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default" w:eastAsia="宋体"/>
          <w:color w:val="auto"/>
          <w:sz w:val="32"/>
          <w:highlight w:val="yellow"/>
          <w:lang w:val="en-US" w:eastAsia="zh-CN"/>
        </w:rPr>
      </w:pPr>
      <w:r>
        <w:rPr>
          <w:rFonts w:hint="eastAsia"/>
          <w:color w:val="auto"/>
          <w:sz w:val="32"/>
        </w:rPr>
        <w:t>招标编号：TRHG-202</w:t>
      </w:r>
      <w:r>
        <w:rPr>
          <w:rFonts w:hint="eastAsia"/>
          <w:color w:val="auto"/>
          <w:sz w:val="32"/>
          <w:lang w:val="en-US" w:eastAsia="zh-CN"/>
        </w:rPr>
        <w:t>6</w:t>
      </w:r>
      <w:r>
        <w:rPr>
          <w:rFonts w:hint="eastAsia"/>
          <w:color w:val="auto"/>
          <w:sz w:val="32"/>
        </w:rPr>
        <w:t>-</w:t>
      </w:r>
      <w:r>
        <w:rPr>
          <w:rFonts w:hint="eastAsia"/>
          <w:color w:val="auto"/>
          <w:sz w:val="32"/>
          <w:lang w:val="en-US" w:eastAsia="zh-CN"/>
        </w:rPr>
        <w:t>009</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6</w:t>
      </w:r>
      <w:r>
        <w:rPr>
          <w:rFonts w:hint="eastAsia"/>
          <w:color w:val="auto"/>
          <w:sz w:val="32"/>
          <w:lang w:eastAsia="zh-CN"/>
        </w:rPr>
        <w:t>月</w:t>
      </w:r>
      <w:r>
        <w:rPr>
          <w:rFonts w:hint="eastAsia"/>
          <w:color w:val="auto"/>
          <w:sz w:val="32"/>
          <w:lang w:val="en-US" w:eastAsia="zh-CN"/>
        </w:rPr>
        <w:t>25</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4"/>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4"/>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2"/>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2"/>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2"/>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4"/>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4"/>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0"/>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0"/>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0"/>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0"/>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0"/>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0"/>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0"/>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2"/>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2"/>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2"/>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2"/>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4"/>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0"/>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0"/>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0"/>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0"/>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0"/>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0"/>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4"/>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0"/>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0"/>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0"/>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0"/>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0"/>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0"/>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0"/>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0"/>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2"/>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0"/>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0"/>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0"/>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0"/>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0"/>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4"/>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离心泵招标采购</w:t>
      </w:r>
    </w:p>
    <w:p w14:paraId="75E0DC43">
      <w:pPr>
        <w:autoSpaceDE w:val="0"/>
        <w:autoSpaceDN w:val="0"/>
        <w:adjustRightInd w:val="0"/>
        <w:spacing w:line="360" w:lineRule="auto"/>
        <w:rPr>
          <w:rFonts w:hint="default"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w:t>
      </w:r>
      <w:r>
        <w:rPr>
          <w:rFonts w:hint="eastAsia" w:asciiTheme="minorEastAsia" w:hAnsiTheme="minorEastAsia"/>
          <w:color w:val="auto"/>
          <w:szCs w:val="21"/>
          <w:lang w:val="en-US" w:eastAsia="zh-CN"/>
        </w:rPr>
        <w:t>009</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25</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离心泵</w:t>
      </w:r>
      <w:r>
        <w:rPr>
          <w:rFonts w:hint="eastAsia" w:ascii="Arial" w:hAnsi="宋体" w:cs="宋体"/>
          <w:color w:val="auto"/>
          <w:kern w:val="0"/>
          <w:sz w:val="24"/>
        </w:rPr>
        <w:t>采购的招标工作，请投标人对下列货物和服务提交密封投标：</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329"/>
        <w:gridCol w:w="1797"/>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329"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797"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离心泵</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台</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23</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7A95A228">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详见附件设备一览表-泵</w:t>
            </w:r>
          </w:p>
        </w:tc>
        <w:tc>
          <w:tcPr>
            <w:tcW w:w="3329" w:type="dxa"/>
            <w:tcBorders>
              <w:top w:val="single" w:color="auto" w:sz="6" w:space="0"/>
              <w:left w:val="single" w:color="auto" w:sz="6" w:space="0"/>
              <w:bottom w:val="single" w:color="auto" w:sz="6" w:space="0"/>
              <w:right w:val="single" w:color="auto" w:sz="6" w:space="0"/>
            </w:tcBorders>
            <w:shd w:val="clear" w:color="auto" w:fill="auto"/>
            <w:vAlign w:val="center"/>
          </w:tcPr>
          <w:p w14:paraId="3259647D">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val="en-US" w:eastAsia="zh-CN"/>
              </w:rPr>
              <w:t>详见附件设备一览表-离心泵</w:t>
            </w:r>
            <w:r>
              <w:rPr>
                <w:rFonts w:hint="eastAsia" w:ascii="仿宋" w:hAnsi="仿宋" w:eastAsia="仿宋" w:cs="宋体"/>
                <w:color w:val="auto"/>
                <w:kern w:val="0"/>
                <w:sz w:val="20"/>
                <w:szCs w:val="20"/>
              </w:rPr>
              <w:t>的供货</w:t>
            </w:r>
            <w:r>
              <w:rPr>
                <w:rFonts w:hint="eastAsia" w:ascii="仿宋" w:eastAsia="仿宋"/>
                <w:color w:val="auto"/>
                <w:kern w:val="0"/>
                <w:sz w:val="20"/>
              </w:rPr>
              <w:t>+</w:t>
            </w:r>
            <w:r>
              <w:rPr>
                <w:rFonts w:hint="eastAsia" w:ascii="仿宋" w:hAnsi="仿宋" w:eastAsia="仿宋" w:cs="宋体"/>
                <w:color w:val="auto"/>
                <w:kern w:val="0"/>
                <w:sz w:val="20"/>
                <w:szCs w:val="20"/>
              </w:rPr>
              <w:t>调试。</w:t>
            </w:r>
          </w:p>
        </w:tc>
        <w:tc>
          <w:tcPr>
            <w:tcW w:w="1797"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技术要求详见第三部分技术规格、参数及其它要求</w:t>
            </w:r>
          </w:p>
        </w:tc>
      </w:tr>
      <w:tr w14:paraId="4672AB95">
        <w:tblPrEx>
          <w:tblCellMar>
            <w:top w:w="0" w:type="dxa"/>
            <w:left w:w="54" w:type="dxa"/>
            <w:bottom w:w="0" w:type="dxa"/>
            <w:right w:w="54" w:type="dxa"/>
          </w:tblCellMar>
        </w:tblPrEx>
        <w:trPr>
          <w:trHeight w:val="733" w:hRule="atLeast"/>
          <w:jc w:val="center"/>
        </w:trPr>
        <w:tc>
          <w:tcPr>
            <w:tcW w:w="9323" w:type="dxa"/>
            <w:gridSpan w:val="7"/>
            <w:tcBorders>
              <w:top w:val="single" w:color="auto" w:sz="6" w:space="0"/>
              <w:left w:val="single" w:color="auto" w:sz="4" w:space="0"/>
              <w:bottom w:val="single" w:color="auto" w:sz="6" w:space="0"/>
              <w:right w:val="single" w:color="auto" w:sz="6" w:space="0"/>
            </w:tcBorders>
            <w:vAlign w:val="center"/>
          </w:tcPr>
          <w:p w14:paraId="2F0B67B1">
            <w:pPr>
              <w:autoSpaceDE w:val="0"/>
              <w:autoSpaceDN w:val="0"/>
              <w:adjustRightInd w:val="0"/>
              <w:jc w:val="center"/>
              <w:rPr>
                <w:rFonts w:hint="eastAsia" w:ascii="仿宋" w:hAnsi="仿宋" w:eastAsia="仿宋" w:cs="宋体"/>
                <w:color w:val="auto"/>
                <w:kern w:val="0"/>
                <w:sz w:val="20"/>
                <w:szCs w:val="20"/>
                <w:lang w:eastAsia="zh-CN"/>
              </w:rPr>
            </w:pPr>
            <w:r>
              <w:rPr>
                <w:rFonts w:hint="eastAsia" w:ascii="仿宋" w:hAnsi="仿宋" w:eastAsia="仿宋" w:cs="宋体"/>
                <w:color w:val="auto"/>
                <w:kern w:val="0"/>
                <w:sz w:val="20"/>
                <w:szCs w:val="20"/>
                <w:lang w:val="en-US" w:eastAsia="zh-CN"/>
              </w:rPr>
              <w:t>供货范围：</w:t>
            </w:r>
            <w:r>
              <w:rPr>
                <w:rFonts w:hint="eastAsia" w:ascii="仿宋" w:hAnsi="仿宋" w:eastAsia="仿宋" w:cs="宋体"/>
                <w:color w:val="auto"/>
                <w:kern w:val="0"/>
                <w:sz w:val="20"/>
                <w:szCs w:val="20"/>
              </w:rPr>
              <w:t>含</w:t>
            </w:r>
            <w:r>
              <w:rPr>
                <w:rFonts w:hint="eastAsia" w:ascii="仿宋" w:hAnsi="仿宋" w:eastAsia="仿宋" w:cs="宋体"/>
                <w:color w:val="auto"/>
                <w:kern w:val="0"/>
                <w:sz w:val="20"/>
                <w:szCs w:val="20"/>
                <w:lang w:val="en-US" w:eastAsia="zh-CN"/>
              </w:rPr>
              <w:t>泵头、电机、公用底座、</w:t>
            </w:r>
            <w:r>
              <w:rPr>
                <w:rFonts w:hint="eastAsia" w:ascii="仿宋" w:hAnsi="仿宋" w:eastAsia="仿宋" w:cs="宋体"/>
                <w:color w:val="auto"/>
                <w:kern w:val="0"/>
                <w:sz w:val="20"/>
                <w:szCs w:val="20"/>
              </w:rPr>
              <w:t>地脚螺栓</w:t>
            </w:r>
            <w:r>
              <w:rPr>
                <w:rFonts w:hint="eastAsia" w:ascii="仿宋" w:hAnsi="仿宋" w:eastAsia="仿宋" w:cs="宋体"/>
                <w:color w:val="auto"/>
                <w:kern w:val="0"/>
                <w:sz w:val="20"/>
                <w:szCs w:val="20"/>
                <w:lang w:val="en-US" w:eastAsia="zh-CN"/>
              </w:rPr>
              <w:t>螺母等</w:t>
            </w:r>
            <w:r>
              <w:rPr>
                <w:rFonts w:hint="eastAsia" w:ascii="仿宋" w:hAnsi="仿宋" w:eastAsia="仿宋" w:cs="宋体"/>
                <w:color w:val="auto"/>
                <w:kern w:val="0"/>
                <w:sz w:val="20"/>
                <w:szCs w:val="20"/>
                <w:lang w:eastAsia="zh-CN"/>
              </w:rPr>
              <w:t>；</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0334052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469CBC5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293C186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3EDAE752">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 xml:space="preserve">单位： </w:t>
      </w:r>
      <w:r>
        <w:rPr>
          <w:rFonts w:hint="eastAsia" w:ascii="Arial" w:hAnsi="Arial" w:cs="Arial"/>
          <w:color w:val="auto"/>
          <w:sz w:val="24"/>
          <w:szCs w:val="24"/>
        </w:rPr>
        <w:t>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4"/>
        <w:pageBreakBefore/>
        <w:jc w:val="center"/>
        <w:rPr>
          <w:color w:val="auto"/>
        </w:rPr>
      </w:pPr>
      <w:bookmarkStart w:id="5" w:name="_Toc20120"/>
      <w:bookmarkStart w:id="6" w:name="_Toc409991168"/>
      <w:bookmarkStart w:id="7" w:name="_Toc409991252"/>
      <w:r>
        <w:rPr>
          <w:rFonts w:hint="eastAsia"/>
          <w:color w:val="auto"/>
        </w:rPr>
        <w:t>第二部分投标人须知前附表及投标人须知</w:t>
      </w:r>
      <w:bookmarkEnd w:id="5"/>
      <w:bookmarkEnd w:id="6"/>
      <w:bookmarkEnd w:id="7"/>
      <w:bookmarkStart w:id="8" w:name="_Toc409991253"/>
      <w:bookmarkStart w:id="9" w:name="_Toc409991169"/>
    </w:p>
    <w:p w14:paraId="00DF6AB4">
      <w:pPr>
        <w:pStyle w:val="5"/>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color w:val="auto"/>
                <w:lang w:val="zh-CN"/>
              </w:rPr>
            </w:pPr>
            <w:r>
              <w:rPr>
                <w:color w:val="auto"/>
                <w:lang w:val="zh-CN"/>
              </w:rPr>
              <w:t>1.1</w:t>
            </w:r>
          </w:p>
        </w:tc>
        <w:tc>
          <w:tcPr>
            <w:tcW w:w="1416" w:type="dxa"/>
            <w:vAlign w:val="center"/>
          </w:tcPr>
          <w:p w14:paraId="18C25820">
            <w:pPr>
              <w:pStyle w:val="57"/>
              <w:rPr>
                <w:rFonts w:hint="eastAsia"/>
                <w:color w:val="auto"/>
                <w:lang w:val="zh-CN"/>
              </w:rPr>
            </w:pPr>
            <w:r>
              <w:rPr>
                <w:rFonts w:hint="eastAsia"/>
                <w:color w:val="auto"/>
                <w:lang w:val="zh-CN"/>
              </w:rPr>
              <w:t>招标人</w:t>
            </w:r>
          </w:p>
        </w:tc>
        <w:tc>
          <w:tcPr>
            <w:tcW w:w="6472" w:type="dxa"/>
            <w:vAlign w:val="center"/>
          </w:tcPr>
          <w:p w14:paraId="72BB8BDA">
            <w:pPr>
              <w:pStyle w:val="57"/>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color w:val="auto"/>
                <w:lang w:val="zh-CN"/>
              </w:rPr>
            </w:pPr>
            <w:r>
              <w:rPr>
                <w:color w:val="auto"/>
                <w:lang w:val="zh-CN"/>
              </w:rPr>
              <w:t>1.2</w:t>
            </w:r>
          </w:p>
        </w:tc>
        <w:tc>
          <w:tcPr>
            <w:tcW w:w="1416" w:type="dxa"/>
            <w:vAlign w:val="center"/>
          </w:tcPr>
          <w:p w14:paraId="7CE68724">
            <w:pPr>
              <w:pStyle w:val="57"/>
              <w:rPr>
                <w:rFonts w:hint="eastAsia"/>
                <w:color w:val="auto"/>
                <w:lang w:val="zh-CN"/>
              </w:rPr>
            </w:pPr>
            <w:r>
              <w:rPr>
                <w:rFonts w:hint="eastAsia"/>
                <w:color w:val="auto"/>
                <w:lang w:val="zh-CN"/>
              </w:rPr>
              <w:t>招标联系人</w:t>
            </w:r>
          </w:p>
        </w:tc>
        <w:tc>
          <w:tcPr>
            <w:tcW w:w="6472" w:type="dxa"/>
            <w:vAlign w:val="center"/>
          </w:tcPr>
          <w:p w14:paraId="32DB7408">
            <w:pPr>
              <w:pStyle w:val="24"/>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color w:val="auto"/>
                <w:lang w:val="zh-CN"/>
              </w:rPr>
            </w:pPr>
            <w:r>
              <w:rPr>
                <w:color w:val="auto"/>
                <w:lang w:val="zh-CN"/>
              </w:rPr>
              <w:t>1.3</w:t>
            </w:r>
          </w:p>
        </w:tc>
        <w:tc>
          <w:tcPr>
            <w:tcW w:w="1416" w:type="dxa"/>
            <w:vAlign w:val="center"/>
          </w:tcPr>
          <w:p w14:paraId="12DF5395">
            <w:pPr>
              <w:pStyle w:val="57"/>
              <w:rPr>
                <w:rFonts w:hint="eastAsia"/>
                <w:color w:val="auto"/>
                <w:lang w:val="zh-CN"/>
              </w:rPr>
            </w:pPr>
            <w:r>
              <w:rPr>
                <w:rFonts w:hint="eastAsia"/>
                <w:color w:val="auto"/>
                <w:lang w:val="zh-CN"/>
              </w:rPr>
              <w:t>项目名称</w:t>
            </w:r>
          </w:p>
        </w:tc>
        <w:tc>
          <w:tcPr>
            <w:tcW w:w="6472" w:type="dxa"/>
            <w:vAlign w:val="center"/>
          </w:tcPr>
          <w:p w14:paraId="1C96302F">
            <w:pPr>
              <w:pStyle w:val="57"/>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color w:val="auto"/>
                <w:lang w:val="zh-CN"/>
              </w:rPr>
            </w:pPr>
            <w:r>
              <w:rPr>
                <w:color w:val="auto"/>
                <w:lang w:val="zh-CN"/>
              </w:rPr>
              <w:t>1.4</w:t>
            </w:r>
          </w:p>
        </w:tc>
        <w:tc>
          <w:tcPr>
            <w:tcW w:w="1416" w:type="dxa"/>
            <w:vAlign w:val="center"/>
          </w:tcPr>
          <w:p w14:paraId="4BC14F11">
            <w:pPr>
              <w:pStyle w:val="57"/>
              <w:rPr>
                <w:rFonts w:hint="eastAsia"/>
                <w:color w:val="auto"/>
                <w:lang w:val="zh-CN"/>
              </w:rPr>
            </w:pPr>
            <w:r>
              <w:rPr>
                <w:rFonts w:hint="eastAsia"/>
                <w:color w:val="auto"/>
                <w:lang w:val="zh-CN"/>
              </w:rPr>
              <w:t>审批和资金落实</w:t>
            </w:r>
          </w:p>
        </w:tc>
        <w:tc>
          <w:tcPr>
            <w:tcW w:w="6472" w:type="dxa"/>
            <w:vAlign w:val="center"/>
          </w:tcPr>
          <w:p w14:paraId="52030A2E">
            <w:pPr>
              <w:pStyle w:val="57"/>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color w:val="auto"/>
                <w:lang w:val="zh-CN"/>
              </w:rPr>
            </w:pPr>
            <w:r>
              <w:rPr>
                <w:color w:val="auto"/>
                <w:lang w:val="zh-CN"/>
              </w:rPr>
              <w:t>1.5</w:t>
            </w:r>
          </w:p>
        </w:tc>
        <w:tc>
          <w:tcPr>
            <w:tcW w:w="1416" w:type="dxa"/>
            <w:vAlign w:val="center"/>
          </w:tcPr>
          <w:p w14:paraId="5B7ECCF6">
            <w:pPr>
              <w:pStyle w:val="57"/>
              <w:rPr>
                <w:rFonts w:hint="eastAsia"/>
                <w:color w:val="auto"/>
                <w:lang w:val="zh-CN"/>
              </w:rPr>
            </w:pPr>
            <w:r>
              <w:rPr>
                <w:rFonts w:hint="eastAsia"/>
                <w:color w:val="auto"/>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离心泵招标采购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color w:val="auto"/>
                <w:lang w:val="zh-CN"/>
              </w:rPr>
            </w:pPr>
            <w:r>
              <w:rPr>
                <w:color w:val="auto"/>
                <w:lang w:val="zh-CN"/>
              </w:rPr>
              <w:t>1.6</w:t>
            </w:r>
          </w:p>
        </w:tc>
        <w:tc>
          <w:tcPr>
            <w:tcW w:w="1416" w:type="dxa"/>
            <w:vAlign w:val="center"/>
          </w:tcPr>
          <w:p w14:paraId="3DF87795">
            <w:pPr>
              <w:pStyle w:val="57"/>
              <w:rPr>
                <w:rFonts w:hint="eastAsia"/>
                <w:color w:val="auto"/>
                <w:lang w:val="zh-CN"/>
              </w:rPr>
            </w:pPr>
            <w:r>
              <w:rPr>
                <w:rFonts w:hint="eastAsia"/>
                <w:color w:val="auto"/>
                <w:lang w:val="zh-CN"/>
              </w:rPr>
              <w:t>物资数量</w:t>
            </w:r>
          </w:p>
        </w:tc>
        <w:tc>
          <w:tcPr>
            <w:tcW w:w="6472" w:type="dxa"/>
            <w:vAlign w:val="center"/>
          </w:tcPr>
          <w:p w14:paraId="00105AE3">
            <w:pPr>
              <w:pStyle w:val="57"/>
              <w:rPr>
                <w:rFonts w:hint="default" w:eastAsia="仿宋_GB2312"/>
                <w:color w:val="auto"/>
                <w:highlight w:val="yellow"/>
                <w:lang w:val="en-US" w:eastAsia="zh-CN"/>
              </w:rPr>
            </w:pPr>
            <w:r>
              <w:rPr>
                <w:rFonts w:hint="eastAsia" w:ascii="仿宋" w:eastAsia="仿宋"/>
                <w:color w:val="auto"/>
                <w:kern w:val="0"/>
                <w:sz w:val="20"/>
                <w:lang w:val="en-US" w:eastAsia="zh-CN"/>
              </w:rPr>
              <w:t>详见附件-离心泵采购清单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7"/>
              <w:rPr>
                <w:rFonts w:hint="eastAsia"/>
                <w:color w:val="auto"/>
                <w:lang w:val="zh-CN"/>
              </w:rPr>
            </w:pPr>
            <w:r>
              <w:rPr>
                <w:rFonts w:hint="eastAsia"/>
                <w:color w:val="auto"/>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离心泵采购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7"/>
              <w:rPr>
                <w:rFonts w:hint="eastAsia"/>
                <w:color w:val="auto"/>
                <w:lang w:val="zh-CN"/>
              </w:rPr>
            </w:pPr>
            <w:r>
              <w:rPr>
                <w:rFonts w:hint="eastAsia"/>
                <w:color w:val="auto"/>
                <w:lang w:val="zh-CN"/>
              </w:rPr>
              <w:t>质保期</w:t>
            </w:r>
          </w:p>
        </w:tc>
        <w:tc>
          <w:tcPr>
            <w:tcW w:w="6472" w:type="dxa"/>
            <w:vAlign w:val="center"/>
          </w:tcPr>
          <w:p w14:paraId="611EE7D0">
            <w:pPr>
              <w:pStyle w:val="57"/>
              <w:rPr>
                <w:rFonts w:hint="eastAsia"/>
                <w:color w:val="auto"/>
                <w:lang w:val="zh-CN"/>
              </w:rPr>
            </w:pPr>
            <w:r>
              <w:rPr>
                <w:rFonts w:hint="eastAsia"/>
                <w:color w:val="auto"/>
                <w:lang w:val="zh-CN"/>
              </w:rPr>
              <w:t>本工程竣工验收后</w:t>
            </w:r>
            <w:r>
              <w:rPr>
                <w:rFonts w:hint="eastAsia"/>
                <w:color w:val="auto"/>
                <w:lang w:val="en-US" w:eastAsia="zh-CN"/>
              </w:rPr>
              <w:t>12个月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color w:val="auto"/>
                <w:lang w:val="zh-CN"/>
              </w:rPr>
            </w:pPr>
            <w:r>
              <w:rPr>
                <w:color w:val="auto"/>
                <w:lang w:val="zh-CN"/>
              </w:rPr>
              <w:t>1.9</w:t>
            </w:r>
          </w:p>
        </w:tc>
        <w:tc>
          <w:tcPr>
            <w:tcW w:w="1416" w:type="dxa"/>
            <w:vAlign w:val="center"/>
          </w:tcPr>
          <w:p w14:paraId="2C6C74B9">
            <w:pPr>
              <w:pStyle w:val="57"/>
              <w:rPr>
                <w:rFonts w:hint="eastAsia"/>
                <w:color w:val="auto"/>
                <w:lang w:val="zh-CN"/>
              </w:rPr>
            </w:pPr>
            <w:r>
              <w:rPr>
                <w:rFonts w:hint="eastAsia"/>
                <w:color w:val="auto"/>
                <w:lang w:val="zh-CN"/>
              </w:rPr>
              <w:t>交货日期</w:t>
            </w:r>
          </w:p>
        </w:tc>
        <w:tc>
          <w:tcPr>
            <w:tcW w:w="6472" w:type="dxa"/>
            <w:vAlign w:val="center"/>
          </w:tcPr>
          <w:p w14:paraId="57C6B758">
            <w:pPr>
              <w:pStyle w:val="57"/>
              <w:rPr>
                <w:rFonts w:hint="eastAsia"/>
                <w:color w:val="auto"/>
              </w:rPr>
            </w:pPr>
            <w:r>
              <w:rPr>
                <w:rFonts w:hint="eastAsia"/>
                <w:color w:val="auto"/>
                <w:lang w:val="en-US" w:eastAsia="zh-CN"/>
              </w:rPr>
              <w:t>60自然日</w:t>
            </w:r>
            <w:r>
              <w:rPr>
                <w:rFonts w:hint="eastAsia"/>
                <w:color w:val="auto"/>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7"/>
              <w:rPr>
                <w:rFonts w:ascii="Calibri" w:hAnsi="Calibri"/>
                <w:color w:val="auto"/>
              </w:rPr>
            </w:pPr>
            <w:r>
              <w:rPr>
                <w:rFonts w:hint="eastAsia" w:ascii="Calibri" w:hAnsi="Calibri"/>
                <w:color w:val="auto"/>
              </w:rPr>
              <w:t>付款方式和进度</w:t>
            </w:r>
          </w:p>
        </w:tc>
        <w:tc>
          <w:tcPr>
            <w:tcW w:w="6472" w:type="dxa"/>
            <w:vAlign w:val="center"/>
          </w:tcPr>
          <w:p w14:paraId="5F3BD0EA">
            <w:pPr>
              <w:pStyle w:val="57"/>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预付款支付前提供等额的13%增值税发票，往后每次付款前提供等额的13%增值税发票，调试款支付前提供全额13%增值税发票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color w:val="auto"/>
                <w:lang w:val="zh-CN"/>
              </w:rPr>
            </w:pPr>
            <w:r>
              <w:rPr>
                <w:color w:val="auto"/>
                <w:lang w:val="zh-CN"/>
              </w:rPr>
              <w:t>1.11</w:t>
            </w:r>
          </w:p>
        </w:tc>
        <w:tc>
          <w:tcPr>
            <w:tcW w:w="1416" w:type="dxa"/>
            <w:vAlign w:val="center"/>
          </w:tcPr>
          <w:p w14:paraId="07E5C0A8">
            <w:pPr>
              <w:pStyle w:val="57"/>
              <w:rPr>
                <w:rFonts w:hint="eastAsia"/>
                <w:color w:val="auto"/>
                <w:lang w:val="zh-CN"/>
              </w:rPr>
            </w:pPr>
            <w:r>
              <w:rPr>
                <w:rFonts w:hint="eastAsia"/>
                <w:color w:val="auto"/>
                <w:lang w:val="zh-CN"/>
              </w:rPr>
              <w:t>投标有效期</w:t>
            </w:r>
          </w:p>
        </w:tc>
        <w:tc>
          <w:tcPr>
            <w:tcW w:w="6472" w:type="dxa"/>
            <w:vAlign w:val="center"/>
          </w:tcPr>
          <w:p w14:paraId="141CB471">
            <w:pPr>
              <w:pStyle w:val="57"/>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color w:val="auto"/>
                <w:lang w:val="zh-CN"/>
              </w:rPr>
            </w:pPr>
            <w:r>
              <w:rPr>
                <w:color w:val="auto"/>
                <w:lang w:val="zh-CN"/>
              </w:rPr>
              <w:t>1.12</w:t>
            </w:r>
          </w:p>
        </w:tc>
        <w:tc>
          <w:tcPr>
            <w:tcW w:w="1416" w:type="dxa"/>
            <w:vAlign w:val="center"/>
          </w:tcPr>
          <w:p w14:paraId="68934413">
            <w:pPr>
              <w:pStyle w:val="57"/>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7"/>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7"/>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7"/>
              <w:rPr>
                <w:rFonts w:hint="eastAsia"/>
                <w:color w:val="auto"/>
                <w:lang w:val="zh-CN"/>
              </w:rPr>
            </w:pPr>
            <w:r>
              <w:rPr>
                <w:rFonts w:hint="eastAsia"/>
                <w:color w:val="auto"/>
                <w:lang w:val="zh-CN"/>
              </w:rPr>
              <w:t>5.如是代理商投标的，需提供物资制造商给投标人的有效授权书。</w:t>
            </w:r>
          </w:p>
          <w:p w14:paraId="7ADE5A9C">
            <w:pPr>
              <w:pStyle w:val="57"/>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color w:val="auto"/>
                <w:lang w:val="zh-CN"/>
              </w:rPr>
            </w:pPr>
            <w:r>
              <w:rPr>
                <w:color w:val="auto"/>
                <w:lang w:val="zh-CN"/>
              </w:rPr>
              <w:t>2.1</w:t>
            </w:r>
          </w:p>
        </w:tc>
        <w:tc>
          <w:tcPr>
            <w:tcW w:w="1416" w:type="dxa"/>
            <w:vAlign w:val="center"/>
          </w:tcPr>
          <w:p w14:paraId="1164FFD0">
            <w:pPr>
              <w:pStyle w:val="57"/>
              <w:rPr>
                <w:rFonts w:hint="eastAsia"/>
                <w:color w:val="auto"/>
                <w:highlight w:val="yellow"/>
                <w:lang w:val="zh-CN"/>
              </w:rPr>
            </w:pPr>
            <w:r>
              <w:rPr>
                <w:rFonts w:hint="eastAsia"/>
                <w:color w:val="auto"/>
                <w:lang w:val="zh-CN"/>
              </w:rPr>
              <w:t>投标文件</w:t>
            </w:r>
          </w:p>
        </w:tc>
        <w:tc>
          <w:tcPr>
            <w:tcW w:w="6472" w:type="dxa"/>
            <w:vAlign w:val="center"/>
          </w:tcPr>
          <w:p w14:paraId="6AB69777">
            <w:pPr>
              <w:pStyle w:val="57"/>
              <w:rPr>
                <w:rFonts w:hint="eastAsia"/>
                <w:color w:val="auto"/>
                <w:lang w:val="zh-CN"/>
              </w:rPr>
            </w:pPr>
            <w:r>
              <w:rPr>
                <w:rFonts w:hint="eastAsia"/>
                <w:color w:val="auto"/>
                <w:lang w:val="zh-CN"/>
              </w:rPr>
              <w:t>本次招标需提供以下版本的投标文件：</w:t>
            </w:r>
          </w:p>
          <w:p w14:paraId="79DDA650">
            <w:pPr>
              <w:pStyle w:val="57"/>
              <w:rPr>
                <w:rFonts w:hint="eastAsia"/>
                <w:color w:val="auto"/>
                <w:lang w:val="zh-CN"/>
              </w:rPr>
            </w:pPr>
            <w:r>
              <w:rPr>
                <w:rFonts w:hint="eastAsia"/>
                <w:color w:val="auto"/>
                <w:lang w:val="zh-CN"/>
              </w:rPr>
              <w:t>正本1份，副本4份。</w:t>
            </w:r>
          </w:p>
          <w:p w14:paraId="47425574">
            <w:pPr>
              <w:pStyle w:val="57"/>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7"/>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color w:val="auto"/>
                <w:lang w:val="zh-CN"/>
              </w:rPr>
            </w:pPr>
            <w:r>
              <w:rPr>
                <w:color w:val="auto"/>
                <w:lang w:val="zh-CN"/>
              </w:rPr>
              <w:t>2.2</w:t>
            </w:r>
          </w:p>
        </w:tc>
        <w:tc>
          <w:tcPr>
            <w:tcW w:w="1416" w:type="dxa"/>
            <w:vAlign w:val="center"/>
          </w:tcPr>
          <w:p w14:paraId="6CFAD799">
            <w:pPr>
              <w:pStyle w:val="57"/>
              <w:rPr>
                <w:rFonts w:hint="eastAsia"/>
                <w:color w:val="auto"/>
                <w:lang w:val="zh-CN"/>
              </w:rPr>
            </w:pPr>
            <w:r>
              <w:rPr>
                <w:rFonts w:hint="eastAsia"/>
                <w:color w:val="auto"/>
                <w:lang w:val="zh-CN"/>
              </w:rPr>
              <w:t>投标文件签署</w:t>
            </w:r>
          </w:p>
        </w:tc>
        <w:tc>
          <w:tcPr>
            <w:tcW w:w="6472" w:type="dxa"/>
            <w:vAlign w:val="center"/>
          </w:tcPr>
          <w:p w14:paraId="6E2DF59A">
            <w:pPr>
              <w:pStyle w:val="57"/>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color w:val="auto"/>
                <w:lang w:val="zh-CN"/>
              </w:rPr>
            </w:pPr>
            <w:r>
              <w:rPr>
                <w:color w:val="auto"/>
                <w:lang w:val="zh-CN"/>
              </w:rPr>
              <w:t>2.3</w:t>
            </w:r>
          </w:p>
        </w:tc>
        <w:tc>
          <w:tcPr>
            <w:tcW w:w="1416" w:type="dxa"/>
            <w:vAlign w:val="center"/>
          </w:tcPr>
          <w:p w14:paraId="3F948574">
            <w:pPr>
              <w:pStyle w:val="57"/>
              <w:rPr>
                <w:rFonts w:hint="eastAsia"/>
                <w:color w:val="auto"/>
                <w:lang w:val="zh-CN"/>
              </w:rPr>
            </w:pPr>
            <w:r>
              <w:rPr>
                <w:rFonts w:hint="eastAsia"/>
                <w:color w:val="auto"/>
                <w:lang w:val="zh-CN"/>
              </w:rPr>
              <w:t>加密和密封要求</w:t>
            </w:r>
          </w:p>
        </w:tc>
        <w:tc>
          <w:tcPr>
            <w:tcW w:w="6472" w:type="dxa"/>
            <w:vAlign w:val="center"/>
          </w:tcPr>
          <w:p w14:paraId="3FD0954C">
            <w:pPr>
              <w:pStyle w:val="57"/>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7"/>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7"/>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7"/>
              <w:rPr>
                <w:rFonts w:hint="eastAsia"/>
                <w:color w:val="auto"/>
                <w:lang w:val="zh-CN"/>
              </w:rPr>
            </w:pPr>
            <w:r>
              <w:rPr>
                <w:rFonts w:hint="eastAsia"/>
                <w:color w:val="auto"/>
                <w:lang w:val="zh-CN"/>
              </w:rPr>
              <w:t>投标语言及计量单位</w:t>
            </w:r>
          </w:p>
        </w:tc>
        <w:tc>
          <w:tcPr>
            <w:tcW w:w="6472" w:type="dxa"/>
            <w:vAlign w:val="center"/>
          </w:tcPr>
          <w:p w14:paraId="2DD92D76">
            <w:pPr>
              <w:pStyle w:val="57"/>
              <w:rPr>
                <w:rFonts w:hint="eastAsia"/>
                <w:color w:val="auto"/>
                <w:lang w:val="zh-CN"/>
              </w:rPr>
            </w:pPr>
            <w:r>
              <w:rPr>
                <w:rFonts w:hint="eastAsia"/>
                <w:color w:val="auto"/>
                <w:lang w:val="zh-CN"/>
              </w:rPr>
              <w:t>1.投标文件及投标人和招标人就投标所交换的文件，应以中文书写。</w:t>
            </w:r>
          </w:p>
          <w:p w14:paraId="7FB1D9E9">
            <w:pPr>
              <w:pStyle w:val="57"/>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color w:val="auto"/>
                <w:lang w:val="zh-CN"/>
              </w:rPr>
            </w:pPr>
            <w:r>
              <w:rPr>
                <w:rFonts w:hint="eastAsia"/>
                <w:color w:val="auto"/>
                <w:lang w:val="zh-CN"/>
              </w:rPr>
              <w:t>3.1</w:t>
            </w:r>
          </w:p>
        </w:tc>
        <w:tc>
          <w:tcPr>
            <w:tcW w:w="1416" w:type="dxa"/>
            <w:vAlign w:val="center"/>
          </w:tcPr>
          <w:p w14:paraId="3774A178">
            <w:pPr>
              <w:pStyle w:val="57"/>
              <w:rPr>
                <w:rFonts w:hint="eastAsia"/>
                <w:color w:val="auto"/>
                <w:lang w:val="zh-CN"/>
              </w:rPr>
            </w:pPr>
            <w:r>
              <w:rPr>
                <w:rFonts w:hint="eastAsia"/>
                <w:color w:val="auto"/>
                <w:lang w:val="zh-CN"/>
              </w:rPr>
              <w:t>技术投标文件</w:t>
            </w:r>
          </w:p>
        </w:tc>
        <w:tc>
          <w:tcPr>
            <w:tcW w:w="6472" w:type="dxa"/>
            <w:vAlign w:val="center"/>
          </w:tcPr>
          <w:p w14:paraId="10633BF5">
            <w:pPr>
              <w:pStyle w:val="57"/>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color w:val="auto"/>
                <w:lang w:val="zh-CN"/>
              </w:rPr>
            </w:pPr>
            <w:r>
              <w:rPr>
                <w:color w:val="auto"/>
                <w:lang w:val="zh-CN"/>
              </w:rPr>
              <w:t>3.1.1</w:t>
            </w:r>
          </w:p>
        </w:tc>
        <w:tc>
          <w:tcPr>
            <w:tcW w:w="1416" w:type="dxa"/>
            <w:vAlign w:val="center"/>
          </w:tcPr>
          <w:p w14:paraId="089392F1">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7"/>
              <w:rPr>
                <w:rFonts w:hint="eastAsia"/>
                <w:color w:val="auto"/>
                <w:lang w:val="zh-CN"/>
              </w:rPr>
            </w:pPr>
            <w:r>
              <w:rPr>
                <w:rFonts w:hint="eastAsia"/>
                <w:color w:val="auto"/>
                <w:lang w:val="zh-CN"/>
              </w:rPr>
              <w:t>1.法定代表人授权书（附件1）</w:t>
            </w:r>
          </w:p>
          <w:p w14:paraId="587461D5">
            <w:pPr>
              <w:pStyle w:val="57"/>
              <w:rPr>
                <w:rFonts w:hint="eastAsia"/>
                <w:color w:val="auto"/>
                <w:lang w:val="zh-CN"/>
              </w:rPr>
            </w:pPr>
            <w:r>
              <w:rPr>
                <w:rFonts w:hint="eastAsia"/>
                <w:color w:val="auto"/>
                <w:lang w:val="zh-CN"/>
              </w:rPr>
              <w:t>2.法定代表人身份证明（附件2）</w:t>
            </w:r>
          </w:p>
          <w:p w14:paraId="03DA16C1">
            <w:pPr>
              <w:pStyle w:val="57"/>
              <w:rPr>
                <w:rFonts w:hint="eastAsia"/>
                <w:color w:val="auto"/>
                <w:lang w:val="zh-CN"/>
              </w:rPr>
            </w:pPr>
            <w:r>
              <w:rPr>
                <w:rFonts w:hint="eastAsia"/>
                <w:color w:val="auto"/>
                <w:lang w:val="zh-CN"/>
              </w:rPr>
              <w:t>3.投标文件真实性声明（附件3）</w:t>
            </w:r>
          </w:p>
          <w:p w14:paraId="60A78C94">
            <w:pPr>
              <w:pStyle w:val="57"/>
              <w:rPr>
                <w:rFonts w:hint="eastAsia"/>
                <w:color w:val="auto"/>
                <w:lang w:val="zh-CN"/>
              </w:rPr>
            </w:pPr>
            <w:r>
              <w:rPr>
                <w:rFonts w:hint="eastAsia"/>
                <w:color w:val="auto"/>
                <w:lang w:val="zh-CN"/>
              </w:rPr>
              <w:t>4.资格审查证明文件</w:t>
            </w:r>
          </w:p>
          <w:p w14:paraId="16C8F8E3">
            <w:pPr>
              <w:pStyle w:val="57"/>
              <w:ind w:firstLine="210"/>
              <w:rPr>
                <w:rFonts w:hint="eastAsia"/>
                <w:color w:val="auto"/>
                <w:lang w:val="zh-CN"/>
              </w:rPr>
            </w:pPr>
            <w:r>
              <w:rPr>
                <w:rFonts w:hint="eastAsia"/>
                <w:color w:val="auto"/>
                <w:lang w:val="zh-CN"/>
              </w:rPr>
              <w:t>4.1投标人的资格声明（附件4）</w:t>
            </w:r>
          </w:p>
          <w:p w14:paraId="3700DE41">
            <w:pPr>
              <w:pStyle w:val="57"/>
              <w:ind w:firstLine="210"/>
              <w:rPr>
                <w:rFonts w:hint="eastAsia"/>
                <w:color w:val="auto"/>
                <w:lang w:val="zh-CN"/>
              </w:rPr>
            </w:pPr>
            <w:r>
              <w:rPr>
                <w:rFonts w:hint="eastAsia"/>
                <w:color w:val="auto"/>
                <w:lang w:val="zh-CN"/>
              </w:rPr>
              <w:t>4.2制造商出具的授权函（如适用）（附件5）</w:t>
            </w:r>
          </w:p>
          <w:p w14:paraId="375B2986">
            <w:pPr>
              <w:pStyle w:val="57"/>
              <w:ind w:firstLine="210"/>
              <w:rPr>
                <w:rFonts w:hint="eastAsia"/>
                <w:color w:val="auto"/>
                <w:lang w:val="zh-CN"/>
              </w:rPr>
            </w:pPr>
            <w:r>
              <w:rPr>
                <w:rFonts w:hint="eastAsia"/>
                <w:color w:val="auto"/>
                <w:lang w:val="zh-CN"/>
              </w:rPr>
              <w:t>4.3 认证证书及相关文件（附件6）</w:t>
            </w:r>
          </w:p>
          <w:p w14:paraId="3F54BF37">
            <w:pPr>
              <w:pStyle w:val="57"/>
              <w:ind w:firstLine="210"/>
              <w:rPr>
                <w:rFonts w:hint="eastAsia"/>
                <w:color w:val="auto"/>
                <w:lang w:val="zh-CN"/>
              </w:rPr>
            </w:pPr>
            <w:r>
              <w:rPr>
                <w:rFonts w:hint="eastAsia"/>
                <w:color w:val="auto"/>
                <w:lang w:val="zh-CN"/>
              </w:rPr>
              <w:t xml:space="preserve">  4.3.1 ISO9001证书</w:t>
            </w:r>
          </w:p>
          <w:p w14:paraId="31386A09">
            <w:pPr>
              <w:pStyle w:val="57"/>
              <w:ind w:firstLine="210"/>
              <w:rPr>
                <w:rFonts w:hint="eastAsia"/>
                <w:color w:val="auto"/>
                <w:lang w:val="zh-CN"/>
              </w:rPr>
            </w:pPr>
            <w:r>
              <w:rPr>
                <w:rFonts w:hint="eastAsia"/>
                <w:color w:val="auto"/>
                <w:lang w:val="zh-CN"/>
              </w:rPr>
              <w:t xml:space="preserve">  4.3.2 HSE证书（或ISO14000和ISO18000证书）</w:t>
            </w:r>
          </w:p>
          <w:p w14:paraId="5C48B8EE">
            <w:pPr>
              <w:pStyle w:val="57"/>
              <w:ind w:firstLine="210"/>
              <w:rPr>
                <w:rFonts w:hint="eastAsia"/>
                <w:color w:val="auto"/>
                <w:lang w:val="zh-CN"/>
              </w:rPr>
            </w:pPr>
            <w:r>
              <w:rPr>
                <w:rFonts w:hint="eastAsia"/>
                <w:color w:val="auto"/>
                <w:lang w:val="zh-CN"/>
              </w:rPr>
              <w:t xml:space="preserve">  4.3.3独立机构出具的资信等级证明</w:t>
            </w:r>
          </w:p>
          <w:p w14:paraId="6CEB5E3F">
            <w:pPr>
              <w:pStyle w:val="57"/>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color w:val="auto"/>
                <w:lang w:val="zh-CN"/>
              </w:rPr>
            </w:pPr>
            <w:r>
              <w:rPr>
                <w:color w:val="auto"/>
                <w:lang w:val="zh-CN"/>
              </w:rPr>
              <w:t>3.1.2</w:t>
            </w:r>
          </w:p>
        </w:tc>
        <w:tc>
          <w:tcPr>
            <w:tcW w:w="1416" w:type="dxa"/>
            <w:vAlign w:val="center"/>
          </w:tcPr>
          <w:p w14:paraId="5C195660">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7"/>
              <w:rPr>
                <w:rFonts w:hint="eastAsia"/>
                <w:color w:val="auto"/>
                <w:lang w:val="zh-CN"/>
              </w:rPr>
            </w:pPr>
            <w:r>
              <w:rPr>
                <w:rFonts w:hint="eastAsia"/>
                <w:color w:val="auto"/>
                <w:lang w:val="zh-CN"/>
              </w:rPr>
              <w:t>1.技术方案响应情况：技术方案及说明、设计文件。（附件7）</w:t>
            </w:r>
          </w:p>
          <w:p w14:paraId="2EC1BFDC">
            <w:pPr>
              <w:pStyle w:val="57"/>
              <w:rPr>
                <w:rFonts w:hint="eastAsia"/>
                <w:color w:val="auto"/>
                <w:lang w:val="zh-CN"/>
              </w:rPr>
            </w:pPr>
            <w:r>
              <w:rPr>
                <w:rFonts w:hint="eastAsia"/>
                <w:color w:val="auto"/>
                <w:lang w:val="zh-CN"/>
              </w:rPr>
              <w:t>2.技术规格偏差表（附件8）</w:t>
            </w:r>
          </w:p>
          <w:p w14:paraId="59EA1FC8">
            <w:pPr>
              <w:pStyle w:val="57"/>
              <w:rPr>
                <w:rFonts w:hint="eastAsia"/>
                <w:color w:val="auto"/>
                <w:lang w:val="zh-CN"/>
              </w:rPr>
            </w:pPr>
            <w:r>
              <w:rPr>
                <w:rFonts w:hint="eastAsia"/>
                <w:color w:val="auto"/>
                <w:lang w:val="zh-CN"/>
              </w:rPr>
              <w:t>3.商务条款偏差表（附件9）</w:t>
            </w:r>
          </w:p>
          <w:p w14:paraId="05D212BA">
            <w:pPr>
              <w:pStyle w:val="57"/>
              <w:rPr>
                <w:rFonts w:hint="eastAsia"/>
                <w:color w:val="auto"/>
                <w:lang w:val="zh-CN"/>
              </w:rPr>
            </w:pPr>
            <w:r>
              <w:rPr>
                <w:rFonts w:hint="eastAsia"/>
                <w:color w:val="auto"/>
                <w:lang w:val="zh-CN"/>
              </w:rPr>
              <w:t>4.业绩表：近5年行业内相同或类似型号产品业绩表（附件10）</w:t>
            </w:r>
          </w:p>
          <w:p w14:paraId="67251F97">
            <w:pPr>
              <w:pStyle w:val="57"/>
              <w:rPr>
                <w:rFonts w:hint="eastAsia"/>
                <w:color w:val="auto"/>
                <w:lang w:val="zh-CN"/>
              </w:rPr>
            </w:pPr>
            <w:r>
              <w:rPr>
                <w:rFonts w:hint="eastAsia"/>
                <w:color w:val="auto"/>
                <w:lang w:val="zh-CN"/>
              </w:rPr>
              <w:t>5.对本次招标物资的服务承诺及质保措施（附件11）</w:t>
            </w:r>
          </w:p>
          <w:p w14:paraId="1639E2A3">
            <w:pPr>
              <w:pStyle w:val="57"/>
              <w:rPr>
                <w:rFonts w:hint="eastAsia"/>
                <w:color w:val="auto"/>
                <w:lang w:val="zh-CN"/>
              </w:rPr>
            </w:pPr>
            <w:r>
              <w:rPr>
                <w:rFonts w:hint="eastAsia"/>
                <w:color w:val="auto"/>
                <w:lang w:val="zh-CN"/>
              </w:rPr>
              <w:t>6.投标物资一览表</w:t>
            </w:r>
          </w:p>
          <w:p w14:paraId="45B84794">
            <w:pPr>
              <w:pStyle w:val="57"/>
              <w:ind w:firstLine="210"/>
              <w:rPr>
                <w:rFonts w:hint="eastAsia"/>
                <w:color w:val="auto"/>
                <w:lang w:val="zh-CN"/>
              </w:rPr>
            </w:pPr>
            <w:r>
              <w:rPr>
                <w:rFonts w:hint="eastAsia"/>
                <w:color w:val="auto"/>
                <w:lang w:val="zh-CN"/>
              </w:rPr>
              <w:t>6.1投标物资范围表（附件12-1）</w:t>
            </w:r>
          </w:p>
          <w:p w14:paraId="499ED3BA">
            <w:pPr>
              <w:pStyle w:val="57"/>
              <w:ind w:firstLine="210"/>
              <w:rPr>
                <w:rFonts w:hint="eastAsia"/>
                <w:color w:val="auto"/>
                <w:lang w:val="zh-CN"/>
              </w:rPr>
            </w:pPr>
            <w:r>
              <w:rPr>
                <w:rFonts w:hint="eastAsia"/>
                <w:color w:val="auto"/>
                <w:lang w:val="zh-CN"/>
              </w:rPr>
              <w:t>6.2随机备件一览表（如适用）（附件 12-2）</w:t>
            </w:r>
          </w:p>
          <w:p w14:paraId="6D2D740A">
            <w:pPr>
              <w:pStyle w:val="57"/>
              <w:ind w:firstLine="210"/>
              <w:rPr>
                <w:rFonts w:hint="eastAsia"/>
                <w:color w:val="auto"/>
                <w:lang w:val="zh-CN"/>
              </w:rPr>
            </w:pPr>
            <w:r>
              <w:rPr>
                <w:rFonts w:hint="eastAsia"/>
                <w:color w:val="auto"/>
                <w:lang w:val="zh-CN"/>
              </w:rPr>
              <w:t>6.3备件一览表（一年或二年）（如适用）（附件12-3）</w:t>
            </w:r>
          </w:p>
          <w:p w14:paraId="03C98BF0">
            <w:pPr>
              <w:pStyle w:val="57"/>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7"/>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7"/>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7"/>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color w:val="auto"/>
                <w:lang w:val="zh-CN"/>
              </w:rPr>
            </w:pPr>
            <w:r>
              <w:rPr>
                <w:color w:val="auto"/>
                <w:lang w:val="zh-CN"/>
              </w:rPr>
              <w:t>3.2</w:t>
            </w:r>
          </w:p>
        </w:tc>
        <w:tc>
          <w:tcPr>
            <w:tcW w:w="1416" w:type="dxa"/>
            <w:vAlign w:val="center"/>
          </w:tcPr>
          <w:p w14:paraId="26F476E0">
            <w:pPr>
              <w:pStyle w:val="57"/>
              <w:rPr>
                <w:rFonts w:hint="eastAsia"/>
                <w:color w:val="auto"/>
                <w:lang w:val="zh-CN"/>
              </w:rPr>
            </w:pPr>
            <w:r>
              <w:rPr>
                <w:rFonts w:hint="eastAsia"/>
                <w:color w:val="auto"/>
                <w:lang w:val="zh-CN"/>
              </w:rPr>
              <w:t>商务投标文件</w:t>
            </w:r>
          </w:p>
        </w:tc>
        <w:tc>
          <w:tcPr>
            <w:tcW w:w="6472" w:type="dxa"/>
            <w:vAlign w:val="center"/>
          </w:tcPr>
          <w:p w14:paraId="0B812DA5">
            <w:pPr>
              <w:pStyle w:val="57"/>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7"/>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7"/>
              <w:rPr>
                <w:rFonts w:hint="eastAsia"/>
                <w:color w:val="auto"/>
                <w:lang w:val="zh-CN"/>
              </w:rPr>
            </w:pPr>
            <w:r>
              <w:rPr>
                <w:rFonts w:hint="eastAsia"/>
                <w:color w:val="auto"/>
                <w:lang w:val="zh-CN"/>
              </w:rPr>
              <w:t>3.分项报价表</w:t>
            </w:r>
          </w:p>
          <w:p w14:paraId="3F885722">
            <w:pPr>
              <w:pStyle w:val="57"/>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7"/>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color w:val="auto"/>
                <w:lang w:val="zh-CN"/>
              </w:rPr>
            </w:pPr>
            <w:r>
              <w:rPr>
                <w:color w:val="auto"/>
                <w:lang w:val="zh-CN"/>
              </w:rPr>
              <w:t>3.3</w:t>
            </w:r>
          </w:p>
        </w:tc>
        <w:tc>
          <w:tcPr>
            <w:tcW w:w="1416" w:type="dxa"/>
            <w:vAlign w:val="center"/>
          </w:tcPr>
          <w:p w14:paraId="14D9D0A5">
            <w:pPr>
              <w:pStyle w:val="57"/>
              <w:rPr>
                <w:rFonts w:hint="eastAsia"/>
                <w:color w:val="auto"/>
                <w:lang w:val="zh-CN"/>
              </w:rPr>
            </w:pPr>
            <w:r>
              <w:rPr>
                <w:rFonts w:hint="eastAsia"/>
                <w:color w:val="auto"/>
                <w:lang w:val="zh-CN"/>
              </w:rPr>
              <w:t>其他要求</w:t>
            </w:r>
          </w:p>
        </w:tc>
        <w:tc>
          <w:tcPr>
            <w:tcW w:w="6472" w:type="dxa"/>
            <w:vAlign w:val="center"/>
          </w:tcPr>
          <w:p w14:paraId="03260237">
            <w:pPr>
              <w:pStyle w:val="57"/>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7"/>
              <w:rPr>
                <w:rFonts w:hint="eastAsia"/>
                <w:color w:val="auto"/>
                <w:lang w:val="zh-CN"/>
              </w:rPr>
            </w:pPr>
            <w:r>
              <w:rPr>
                <w:rFonts w:hint="eastAsia"/>
                <w:color w:val="auto"/>
                <w:lang w:val="zh-CN"/>
              </w:rPr>
              <w:t>2.投标人须就全部招标物资投标。招标人有权将招标物资分拆授标。</w:t>
            </w:r>
          </w:p>
          <w:p w14:paraId="162FFDE5">
            <w:pPr>
              <w:pStyle w:val="57"/>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color w:val="auto"/>
                <w:lang w:val="zh-CN"/>
              </w:rPr>
            </w:pPr>
            <w:r>
              <w:rPr>
                <w:rFonts w:hint="eastAsia"/>
                <w:color w:val="auto"/>
                <w:lang w:val="zh-CN"/>
              </w:rPr>
              <w:t>4.投标报价表填写时应注意：</w:t>
            </w:r>
          </w:p>
          <w:p w14:paraId="11D68FF8">
            <w:pPr>
              <w:pStyle w:val="57"/>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7"/>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7"/>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7"/>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7"/>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7"/>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7"/>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5"/>
        <w:rPr>
          <w:color w:val="auto"/>
        </w:rPr>
      </w:pPr>
      <w:r>
        <w:rPr>
          <w:color w:val="auto"/>
          <w:sz w:val="30"/>
        </w:rPr>
        <w:br w:type="page"/>
      </w:r>
      <w:bookmarkStart w:id="11" w:name="_Toc26126"/>
      <w:bookmarkStart w:id="12" w:name="_Toc409991170"/>
      <w:bookmarkStart w:id="13" w:name="_Toc409991254"/>
      <w:r>
        <w:rPr>
          <w:rFonts w:hint="eastAsia"/>
          <w:color w:val="auto"/>
        </w:rPr>
        <w:t>（二）投标人须知</w:t>
      </w:r>
      <w:bookmarkEnd w:id="11"/>
      <w:bookmarkEnd w:id="12"/>
      <w:bookmarkEnd w:id="13"/>
    </w:p>
    <w:p w14:paraId="436752DD">
      <w:pPr>
        <w:pStyle w:val="6"/>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6"/>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6"/>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6"/>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6"/>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6"/>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6"/>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4"/>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离心泵</w:t>
      </w:r>
    </w:p>
    <w:p w14:paraId="068DD082">
      <w:pPr>
        <w:pStyle w:val="52"/>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工艺物料的输送</w:t>
      </w:r>
    </w:p>
    <w:p w14:paraId="45770AFC">
      <w:pPr>
        <w:pStyle w:val="52"/>
        <w:numPr>
          <w:ilvl w:val="0"/>
          <w:numId w:val="0"/>
        </w:numPr>
        <w:ind w:leftChars="0"/>
        <w:rPr>
          <w:rFonts w:hint="default"/>
          <w:color w:val="auto"/>
          <w:sz w:val="24"/>
          <w:szCs w:val="24"/>
        </w:rPr>
      </w:pPr>
      <w:r>
        <w:rPr>
          <w:rFonts w:hint="eastAsia"/>
          <w:color w:val="auto"/>
          <w:sz w:val="24"/>
          <w:szCs w:val="24"/>
        </w:rPr>
        <w:t>制作标准：GB/T 3215-2019</w:t>
      </w:r>
      <w:r>
        <w:rPr>
          <w:rFonts w:hint="default"/>
          <w:color w:val="auto"/>
          <w:sz w:val="24"/>
          <w:szCs w:val="24"/>
        </w:rPr>
        <w:t>《石油、重化学和天然气工业用离心泵》</w:t>
      </w:r>
    </w:p>
    <w:p w14:paraId="53341DA8">
      <w:pPr>
        <w:pStyle w:val="52"/>
        <w:numPr>
          <w:ilvl w:val="0"/>
          <w:numId w:val="0"/>
        </w:numPr>
        <w:ind w:leftChars="0"/>
        <w:rPr>
          <w:rFonts w:hint="default"/>
          <w:color w:val="auto"/>
          <w:sz w:val="24"/>
          <w:szCs w:val="24"/>
        </w:rPr>
      </w:pPr>
      <w:r>
        <w:rPr>
          <w:rFonts w:hint="eastAsia"/>
          <w:color w:val="auto"/>
          <w:sz w:val="24"/>
          <w:szCs w:val="24"/>
        </w:rPr>
        <w:t>GB/T 9234-2022</w:t>
      </w:r>
      <w:r>
        <w:rPr>
          <w:rFonts w:hint="eastAsia"/>
          <w:color w:val="auto"/>
          <w:sz w:val="24"/>
          <w:szCs w:val="24"/>
          <w:lang w:val="en-US" w:eastAsia="zh-CN"/>
        </w:rPr>
        <w:t xml:space="preserve"> </w:t>
      </w:r>
      <w:r>
        <w:rPr>
          <w:rFonts w:hint="default"/>
          <w:color w:val="auto"/>
          <w:sz w:val="24"/>
          <w:szCs w:val="24"/>
        </w:rPr>
        <w:t>《磁力驱动离心泵》</w:t>
      </w:r>
    </w:p>
    <w:p w14:paraId="21E8685D">
      <w:pPr>
        <w:pStyle w:val="52"/>
        <w:numPr>
          <w:ilvl w:val="0"/>
          <w:numId w:val="0"/>
        </w:numPr>
        <w:ind w:leftChars="0"/>
        <w:rPr>
          <w:rFonts w:hint="default"/>
          <w:color w:val="auto"/>
          <w:sz w:val="24"/>
          <w:szCs w:val="24"/>
        </w:rPr>
      </w:pPr>
      <w:r>
        <w:rPr>
          <w:rFonts w:hint="eastAsia"/>
          <w:color w:val="auto"/>
          <w:sz w:val="24"/>
          <w:szCs w:val="24"/>
        </w:rPr>
        <w:t>HG/T 2730-2012</w:t>
      </w:r>
      <w:r>
        <w:rPr>
          <w:rFonts w:hint="eastAsia"/>
          <w:color w:val="auto"/>
          <w:sz w:val="24"/>
          <w:szCs w:val="24"/>
          <w:lang w:val="en-US" w:eastAsia="zh-CN"/>
        </w:rPr>
        <w:t xml:space="preserve"> </w:t>
      </w:r>
      <w:r>
        <w:rPr>
          <w:rFonts w:hint="default"/>
          <w:color w:val="auto"/>
          <w:sz w:val="24"/>
          <w:szCs w:val="24"/>
        </w:rPr>
        <w:t>《磁力驱动离心式化工流程泵》</w:t>
      </w:r>
    </w:p>
    <w:p w14:paraId="429A4139">
      <w:pPr>
        <w:pStyle w:val="52"/>
        <w:numPr>
          <w:ilvl w:val="0"/>
          <w:numId w:val="0"/>
        </w:numPr>
        <w:ind w:leftChars="0"/>
        <w:rPr>
          <w:rFonts w:hint="eastAsia"/>
          <w:color w:val="auto"/>
          <w:sz w:val="24"/>
          <w:szCs w:val="24"/>
          <w:highlight w:val="none"/>
        </w:rPr>
      </w:pPr>
      <w:r>
        <w:rPr>
          <w:rFonts w:hint="eastAsia"/>
          <w:color w:val="auto"/>
          <w:sz w:val="24"/>
          <w:szCs w:val="24"/>
        </w:rPr>
        <w:t>HG/T 3183-2016</w:t>
      </w:r>
      <w:r>
        <w:rPr>
          <w:rFonts w:hint="eastAsia"/>
          <w:color w:val="auto"/>
          <w:sz w:val="24"/>
          <w:szCs w:val="24"/>
          <w:lang w:val="en-US" w:eastAsia="zh-CN"/>
        </w:rPr>
        <w:t xml:space="preserve"> </w:t>
      </w:r>
      <w:r>
        <w:rPr>
          <w:rFonts w:hint="default"/>
          <w:color w:val="auto"/>
          <w:sz w:val="24"/>
          <w:szCs w:val="24"/>
        </w:rPr>
        <w:t>《氟塑料衬里磁力驱动泵》</w:t>
      </w:r>
    </w:p>
    <w:p w14:paraId="2AF6C59D">
      <w:pPr>
        <w:pStyle w:val="52"/>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2"/>
        <w:numPr>
          <w:ilvl w:val="0"/>
          <w:numId w:val="3"/>
        </w:numPr>
        <w:ind w:left="426" w:hanging="426" w:firstLineChars="0"/>
        <w:rPr>
          <w:color w:val="auto"/>
          <w:sz w:val="24"/>
          <w:szCs w:val="24"/>
        </w:rPr>
      </w:pPr>
      <w:r>
        <w:rPr>
          <w:rFonts w:hint="eastAsia"/>
          <w:color w:val="auto"/>
          <w:sz w:val="24"/>
          <w:szCs w:val="24"/>
        </w:rPr>
        <w:t>技术条件和要求：</w:t>
      </w:r>
    </w:p>
    <w:p w14:paraId="2410592E">
      <w:pPr>
        <w:pStyle w:val="52"/>
        <w:numPr>
          <w:ilvl w:val="0"/>
          <w:numId w:val="4"/>
        </w:numPr>
        <w:ind w:firstLineChars="0"/>
        <w:rPr>
          <w:color w:val="auto"/>
          <w:sz w:val="24"/>
          <w:szCs w:val="24"/>
        </w:rPr>
      </w:pPr>
      <w:r>
        <w:rPr>
          <w:rFonts w:hint="eastAsia"/>
          <w:color w:val="auto"/>
          <w:sz w:val="24"/>
          <w:szCs w:val="24"/>
          <w:lang w:val="en-US" w:eastAsia="zh-CN"/>
        </w:rPr>
        <w:t>技术参数需满足</w:t>
      </w:r>
      <w:r>
        <w:rPr>
          <w:rFonts w:hint="eastAsia"/>
          <w:color w:val="auto"/>
          <w:sz w:val="24"/>
          <w:szCs w:val="24"/>
        </w:rPr>
        <w:t>甲方要求</w:t>
      </w:r>
    </w:p>
    <w:p w14:paraId="29C10298">
      <w:pPr>
        <w:pStyle w:val="52"/>
        <w:numPr>
          <w:ilvl w:val="0"/>
          <w:numId w:val="4"/>
        </w:numPr>
        <w:ind w:firstLineChars="0"/>
        <w:rPr>
          <w:color w:val="auto"/>
          <w:sz w:val="24"/>
          <w:szCs w:val="24"/>
        </w:rPr>
      </w:pPr>
      <w:r>
        <w:rPr>
          <w:rFonts w:hint="eastAsia"/>
          <w:color w:val="auto"/>
          <w:sz w:val="24"/>
          <w:szCs w:val="24"/>
        </w:rPr>
        <w:t>设备在正常操作条件下，连续运转时间须保证7200小时以上</w:t>
      </w:r>
    </w:p>
    <w:p w14:paraId="6C8D4E51">
      <w:pPr>
        <w:pStyle w:val="52"/>
        <w:numPr>
          <w:ilvl w:val="0"/>
          <w:numId w:val="4"/>
        </w:numPr>
        <w:ind w:firstLineChars="0"/>
        <w:rPr>
          <w:color w:val="auto"/>
          <w:sz w:val="24"/>
          <w:szCs w:val="24"/>
        </w:rPr>
      </w:pPr>
      <w:r>
        <w:rPr>
          <w:rFonts w:hint="eastAsia"/>
          <w:color w:val="auto"/>
          <w:sz w:val="24"/>
          <w:szCs w:val="24"/>
        </w:rPr>
        <w:t>电机均采用二级</w:t>
      </w:r>
      <w:r>
        <w:rPr>
          <w:rFonts w:hint="eastAsia"/>
          <w:color w:val="auto"/>
          <w:sz w:val="24"/>
          <w:szCs w:val="24"/>
          <w:lang w:val="en-US" w:eastAsia="zh-CN"/>
        </w:rPr>
        <w:t>能效及以上</w:t>
      </w:r>
    </w:p>
    <w:p w14:paraId="6BB1942B">
      <w:pPr>
        <w:pStyle w:val="52"/>
        <w:numPr>
          <w:ilvl w:val="0"/>
          <w:numId w:val="4"/>
        </w:numPr>
        <w:ind w:firstLineChars="0"/>
        <w:rPr>
          <w:color w:val="auto"/>
          <w:sz w:val="24"/>
          <w:szCs w:val="24"/>
        </w:rPr>
      </w:pPr>
      <w:r>
        <w:rPr>
          <w:rFonts w:hint="eastAsia"/>
          <w:color w:val="auto"/>
          <w:sz w:val="24"/>
          <w:szCs w:val="24"/>
          <w:lang w:val="en-US" w:eastAsia="zh-CN"/>
        </w:rPr>
        <w:t>磁力泵磁极应选用稀土磁</w:t>
      </w:r>
    </w:p>
    <w:p w14:paraId="12F72EFD">
      <w:pPr>
        <w:pStyle w:val="52"/>
        <w:numPr>
          <w:ilvl w:val="0"/>
          <w:numId w:val="4"/>
        </w:numPr>
        <w:ind w:firstLineChars="0"/>
        <w:rPr>
          <w:color w:val="auto"/>
          <w:sz w:val="24"/>
          <w:szCs w:val="24"/>
        </w:rPr>
      </w:pPr>
      <w:r>
        <w:rPr>
          <w:rFonts w:hint="eastAsia"/>
          <w:color w:val="auto"/>
          <w:sz w:val="24"/>
          <w:szCs w:val="24"/>
          <w:lang w:val="en-US" w:eastAsia="zh-CN"/>
        </w:rPr>
        <w:t>电动机防爆等级：</w:t>
      </w:r>
      <w:r>
        <w:rPr>
          <w:rFonts w:hint="eastAsia"/>
          <w:color w:val="auto"/>
          <w:sz w:val="24"/>
          <w:szCs w:val="24"/>
        </w:rPr>
        <w:t>ExdⅡBT4</w:t>
      </w:r>
      <w:r>
        <w:rPr>
          <w:rFonts w:hint="eastAsia"/>
          <w:color w:val="auto"/>
          <w:sz w:val="24"/>
          <w:szCs w:val="24"/>
          <w:lang w:eastAsia="zh-CN"/>
        </w:rPr>
        <w:t>，</w:t>
      </w:r>
      <w:r>
        <w:rPr>
          <w:rFonts w:hint="eastAsia"/>
          <w:color w:val="auto"/>
          <w:sz w:val="24"/>
          <w:szCs w:val="24"/>
          <w:lang w:val="en-US" w:eastAsia="zh-CN"/>
        </w:rPr>
        <w:t>防护等级：</w:t>
      </w:r>
      <w:r>
        <w:rPr>
          <w:rFonts w:hint="eastAsia"/>
          <w:color w:val="auto"/>
          <w:sz w:val="24"/>
          <w:szCs w:val="24"/>
        </w:rPr>
        <w:t>IP65</w:t>
      </w:r>
      <w:r>
        <w:rPr>
          <w:rFonts w:hint="eastAsia"/>
          <w:color w:val="auto"/>
          <w:sz w:val="24"/>
          <w:szCs w:val="24"/>
          <w:lang w:eastAsia="zh-CN"/>
        </w:rPr>
        <w:t>，</w:t>
      </w:r>
      <w:r>
        <w:rPr>
          <w:rFonts w:hint="eastAsia"/>
          <w:color w:val="auto"/>
          <w:sz w:val="24"/>
          <w:szCs w:val="24"/>
          <w:lang w:val="en-US" w:eastAsia="zh-CN"/>
        </w:rPr>
        <w:t>防爆电动机电气接口形式采用M螺纹</w:t>
      </w:r>
    </w:p>
    <w:p w14:paraId="4753E057">
      <w:pPr>
        <w:pStyle w:val="52"/>
        <w:numPr>
          <w:ilvl w:val="0"/>
          <w:numId w:val="4"/>
        </w:numPr>
        <w:ind w:firstLineChars="0"/>
        <w:rPr>
          <w:color w:val="auto"/>
          <w:sz w:val="24"/>
          <w:szCs w:val="24"/>
        </w:rPr>
      </w:pPr>
      <w:r>
        <w:rPr>
          <w:rFonts w:hint="eastAsia"/>
          <w:color w:val="auto"/>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p>
    <w:p w14:paraId="0402761C">
      <w:pPr>
        <w:pStyle w:val="52"/>
        <w:numPr>
          <w:ilvl w:val="0"/>
          <w:numId w:val="4"/>
        </w:numPr>
        <w:ind w:left="851" w:hanging="851" w:firstLineChars="0"/>
        <w:rPr>
          <w:color w:val="auto"/>
          <w:sz w:val="24"/>
          <w:szCs w:val="24"/>
        </w:rPr>
      </w:pPr>
      <w:r>
        <w:rPr>
          <w:rFonts w:hint="eastAsia"/>
          <w:color w:val="auto"/>
          <w:sz w:val="24"/>
          <w:szCs w:val="24"/>
        </w:rPr>
        <w:t>对未尽事项，必须由双方协商确认。</w:t>
      </w:r>
    </w:p>
    <w:tbl>
      <w:tblPr>
        <w:tblStyle w:val="27"/>
        <w:tblpPr w:leftFromText="180" w:rightFromText="180" w:vertAnchor="text" w:horzAnchor="page" w:tblpX="1499" w:tblpY="307"/>
        <w:tblOverlap w:val="never"/>
        <w:tblW w:w="8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41"/>
        <w:gridCol w:w="3000"/>
        <w:gridCol w:w="3379"/>
      </w:tblGrid>
      <w:tr w14:paraId="7C4F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45" w:type="dxa"/>
            <w:vAlign w:val="center"/>
          </w:tcPr>
          <w:p w14:paraId="46E29A90">
            <w:pPr>
              <w:pStyle w:val="52"/>
              <w:ind w:firstLine="0" w:firstLineChars="0"/>
              <w:jc w:val="center"/>
              <w:rPr>
                <w:color w:val="auto"/>
                <w:sz w:val="24"/>
                <w:szCs w:val="24"/>
              </w:rPr>
            </w:pPr>
            <w:r>
              <w:rPr>
                <w:color w:val="auto"/>
                <w:sz w:val="24"/>
                <w:szCs w:val="24"/>
              </w:rPr>
              <w:t>序号</w:t>
            </w:r>
          </w:p>
        </w:tc>
        <w:tc>
          <w:tcPr>
            <w:tcW w:w="1841" w:type="dxa"/>
            <w:vAlign w:val="center"/>
          </w:tcPr>
          <w:p w14:paraId="5FE8865F">
            <w:pPr>
              <w:pStyle w:val="52"/>
              <w:ind w:firstLine="0" w:firstLineChars="0"/>
              <w:jc w:val="center"/>
              <w:rPr>
                <w:color w:val="auto"/>
                <w:sz w:val="24"/>
                <w:szCs w:val="24"/>
              </w:rPr>
            </w:pPr>
            <w:r>
              <w:rPr>
                <w:color w:val="auto"/>
                <w:sz w:val="24"/>
                <w:szCs w:val="24"/>
              </w:rPr>
              <w:t>设备名称</w:t>
            </w:r>
          </w:p>
        </w:tc>
        <w:tc>
          <w:tcPr>
            <w:tcW w:w="3000" w:type="dxa"/>
            <w:vAlign w:val="center"/>
          </w:tcPr>
          <w:p w14:paraId="0E78499E">
            <w:pPr>
              <w:pStyle w:val="52"/>
              <w:ind w:firstLine="0" w:firstLineChars="0"/>
              <w:jc w:val="center"/>
              <w:rPr>
                <w:color w:val="auto"/>
                <w:sz w:val="24"/>
                <w:szCs w:val="24"/>
              </w:rPr>
            </w:pPr>
            <w:r>
              <w:rPr>
                <w:color w:val="auto"/>
                <w:sz w:val="24"/>
                <w:szCs w:val="24"/>
              </w:rPr>
              <w:t>规格型号及结构特征</w:t>
            </w:r>
          </w:p>
        </w:tc>
        <w:tc>
          <w:tcPr>
            <w:tcW w:w="3379" w:type="dxa"/>
            <w:vAlign w:val="center"/>
          </w:tcPr>
          <w:p w14:paraId="04F23BE1">
            <w:pPr>
              <w:pStyle w:val="52"/>
              <w:ind w:firstLine="0" w:firstLineChars="0"/>
              <w:jc w:val="center"/>
              <w:rPr>
                <w:color w:val="auto"/>
                <w:sz w:val="24"/>
                <w:szCs w:val="24"/>
              </w:rPr>
            </w:pPr>
            <w:r>
              <w:rPr>
                <w:color w:val="auto"/>
                <w:sz w:val="24"/>
                <w:szCs w:val="24"/>
              </w:rPr>
              <w:t>备注</w:t>
            </w:r>
          </w:p>
        </w:tc>
      </w:tr>
      <w:tr w14:paraId="17D0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45" w:type="dxa"/>
            <w:vAlign w:val="center"/>
          </w:tcPr>
          <w:p w14:paraId="009A01D1">
            <w:pPr>
              <w:pStyle w:val="52"/>
              <w:numPr>
                <w:ilvl w:val="0"/>
                <w:numId w:val="5"/>
              </w:numPr>
              <w:ind w:left="425" w:leftChars="0" w:hanging="425" w:firstLineChars="0"/>
              <w:jc w:val="center"/>
              <w:rPr>
                <w:color w:val="auto"/>
                <w:sz w:val="24"/>
                <w:szCs w:val="24"/>
              </w:rPr>
            </w:pPr>
          </w:p>
        </w:tc>
        <w:tc>
          <w:tcPr>
            <w:tcW w:w="1841" w:type="dxa"/>
            <w:vAlign w:val="center"/>
          </w:tcPr>
          <w:p w14:paraId="20FA6AF8">
            <w:pPr>
              <w:widowControl/>
              <w:jc w:val="center"/>
              <w:rPr>
                <w:color w:val="auto"/>
                <w:sz w:val="24"/>
                <w:szCs w:val="24"/>
              </w:rPr>
            </w:pPr>
            <w:r>
              <w:rPr>
                <w:rFonts w:hint="eastAsia" w:ascii="宋体" w:hAnsi="宋体" w:cs="宋体"/>
                <w:color w:val="auto"/>
                <w:kern w:val="0"/>
                <w:szCs w:val="21"/>
                <w:lang w:val="en-US" w:eastAsia="zh-CN"/>
              </w:rPr>
              <w:t>泵</w:t>
            </w:r>
          </w:p>
        </w:tc>
        <w:tc>
          <w:tcPr>
            <w:tcW w:w="3000" w:type="dxa"/>
            <w:vAlign w:val="center"/>
          </w:tcPr>
          <w:p w14:paraId="25A3477E">
            <w:pPr>
              <w:rPr>
                <w:rFonts w:hint="default" w:eastAsia="宋体"/>
                <w:color w:val="auto"/>
                <w:sz w:val="24"/>
                <w:szCs w:val="24"/>
                <w:lang w:val="en-US" w:eastAsia="zh-CN"/>
              </w:rPr>
            </w:pPr>
            <w:r>
              <w:rPr>
                <w:rFonts w:hint="eastAsia" w:ascii="宋体" w:hAnsi="宋体" w:cs="宋体"/>
                <w:color w:val="auto"/>
                <w:kern w:val="0"/>
                <w:szCs w:val="21"/>
                <w:lang w:val="en-US" w:eastAsia="zh-CN"/>
              </w:rPr>
              <w:t>详见设备一览表-离心泵</w:t>
            </w:r>
          </w:p>
        </w:tc>
        <w:tc>
          <w:tcPr>
            <w:tcW w:w="3379" w:type="dxa"/>
            <w:vAlign w:val="center"/>
          </w:tcPr>
          <w:p w14:paraId="333E6022">
            <w:pPr>
              <w:widowControl/>
              <w:jc w:val="left"/>
              <w:rPr>
                <w:color w:val="auto"/>
                <w:sz w:val="24"/>
                <w:szCs w:val="24"/>
              </w:rPr>
            </w:pPr>
            <w:r>
              <w:rPr>
                <w:rFonts w:hint="eastAsia" w:ascii="宋体" w:hAnsi="宋体" w:cs="宋体"/>
                <w:color w:val="auto"/>
                <w:kern w:val="0"/>
                <w:szCs w:val="21"/>
              </w:rPr>
              <w:t>品牌：上海佰诺泵阀</w:t>
            </w:r>
            <w:r>
              <w:rPr>
                <w:rFonts w:hint="eastAsia" w:ascii="宋体" w:hAnsi="宋体" w:cs="宋体"/>
                <w:color w:val="auto"/>
                <w:kern w:val="0"/>
                <w:szCs w:val="21"/>
                <w:lang w:eastAsia="zh-CN"/>
              </w:rPr>
              <w:t>、上海凯泉、</w:t>
            </w:r>
            <w:r>
              <w:rPr>
                <w:rFonts w:hint="eastAsia" w:ascii="宋体" w:hAnsi="宋体" w:cs="宋体"/>
                <w:color w:val="auto"/>
                <w:kern w:val="0"/>
                <w:szCs w:val="21"/>
                <w:lang w:val="en-US" w:eastAsia="zh-CN"/>
              </w:rPr>
              <w:t>南方泵业、安徽天富</w:t>
            </w:r>
            <w:r>
              <w:rPr>
                <w:rFonts w:hint="eastAsia" w:ascii="宋体" w:hAnsi="宋体" w:cs="宋体"/>
                <w:color w:val="auto"/>
                <w:kern w:val="0"/>
                <w:szCs w:val="21"/>
              </w:rPr>
              <w:t>或等同</w:t>
            </w:r>
          </w:p>
        </w:tc>
      </w:tr>
      <w:tr w14:paraId="71C9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45" w:type="dxa"/>
            <w:vAlign w:val="center"/>
          </w:tcPr>
          <w:p w14:paraId="640CC433">
            <w:pPr>
              <w:pStyle w:val="52"/>
              <w:numPr>
                <w:ilvl w:val="0"/>
                <w:numId w:val="5"/>
              </w:numPr>
              <w:ind w:left="425" w:leftChars="0" w:hanging="425" w:firstLineChars="0"/>
              <w:jc w:val="center"/>
              <w:rPr>
                <w:color w:val="auto"/>
                <w:sz w:val="24"/>
                <w:szCs w:val="24"/>
              </w:rPr>
            </w:pPr>
          </w:p>
        </w:tc>
        <w:tc>
          <w:tcPr>
            <w:tcW w:w="1841" w:type="dxa"/>
            <w:vAlign w:val="center"/>
          </w:tcPr>
          <w:p w14:paraId="298F71CE">
            <w:pPr>
              <w:widowControl/>
              <w:jc w:val="center"/>
              <w:rPr>
                <w:color w:val="auto"/>
                <w:sz w:val="24"/>
                <w:szCs w:val="24"/>
              </w:rPr>
            </w:pPr>
            <w:r>
              <w:rPr>
                <w:rFonts w:hint="eastAsia" w:ascii="宋体" w:hAnsi="宋体" w:cs="宋体"/>
                <w:color w:val="auto"/>
                <w:kern w:val="0"/>
                <w:szCs w:val="21"/>
              </w:rPr>
              <w:t>电机</w:t>
            </w:r>
          </w:p>
        </w:tc>
        <w:tc>
          <w:tcPr>
            <w:tcW w:w="3000" w:type="dxa"/>
            <w:vAlign w:val="center"/>
          </w:tcPr>
          <w:p w14:paraId="2E5D1F1A">
            <w:pPr>
              <w:widowControl/>
              <w:jc w:val="left"/>
              <w:rPr>
                <w:color w:val="auto"/>
                <w:sz w:val="24"/>
                <w:szCs w:val="24"/>
              </w:rPr>
            </w:pPr>
            <w:r>
              <w:rPr>
                <w:rFonts w:hint="eastAsia"/>
                <w:color w:val="auto"/>
                <w:lang w:val="en-US" w:eastAsia="zh-CN"/>
              </w:rPr>
              <w:t>投标方配套</w:t>
            </w:r>
          </w:p>
        </w:tc>
        <w:tc>
          <w:tcPr>
            <w:tcW w:w="3379" w:type="dxa"/>
            <w:vAlign w:val="center"/>
          </w:tcPr>
          <w:p w14:paraId="7B6D0EC8">
            <w:pPr>
              <w:widowControl/>
              <w:jc w:val="left"/>
              <w:rPr>
                <w:color w:val="auto"/>
                <w:sz w:val="24"/>
                <w:szCs w:val="24"/>
              </w:rPr>
            </w:pPr>
            <w:r>
              <w:rPr>
                <w:rFonts w:hint="eastAsia" w:ascii="宋体" w:hAnsi="宋体" w:cs="宋体"/>
                <w:color w:val="auto"/>
                <w:kern w:val="0"/>
                <w:szCs w:val="21"/>
              </w:rPr>
              <w:t>品牌：贝得、华力、皖南</w:t>
            </w:r>
            <w:r>
              <w:rPr>
                <w:rFonts w:hint="eastAsia" w:ascii="宋体" w:hAnsi="宋体" w:cs="宋体"/>
                <w:color w:val="auto"/>
                <w:kern w:val="0"/>
                <w:szCs w:val="21"/>
                <w:lang w:eastAsia="zh-CN"/>
              </w:rPr>
              <w:t>、江苏大中</w:t>
            </w:r>
            <w:r>
              <w:rPr>
                <w:rFonts w:hint="eastAsia" w:ascii="宋体" w:hAnsi="宋体" w:cs="宋体"/>
                <w:color w:val="auto"/>
                <w:kern w:val="0"/>
                <w:szCs w:val="21"/>
              </w:rPr>
              <w:t>或等同</w:t>
            </w:r>
          </w:p>
        </w:tc>
      </w:tr>
      <w:tr w14:paraId="28EB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45" w:type="dxa"/>
            <w:vAlign w:val="center"/>
          </w:tcPr>
          <w:p w14:paraId="40CE9CED">
            <w:pPr>
              <w:pStyle w:val="52"/>
              <w:numPr>
                <w:ilvl w:val="0"/>
                <w:numId w:val="5"/>
              </w:numPr>
              <w:ind w:left="425" w:leftChars="0" w:hanging="425" w:firstLineChars="0"/>
              <w:jc w:val="center"/>
              <w:rPr>
                <w:rFonts w:hint="eastAsia" w:eastAsiaTheme="minorEastAsia"/>
                <w:color w:val="auto"/>
                <w:sz w:val="24"/>
                <w:szCs w:val="24"/>
                <w:lang w:val="en-US" w:eastAsia="zh-CN"/>
              </w:rPr>
            </w:pPr>
          </w:p>
        </w:tc>
        <w:tc>
          <w:tcPr>
            <w:tcW w:w="1841" w:type="dxa"/>
            <w:vAlign w:val="center"/>
          </w:tcPr>
          <w:p w14:paraId="3906A5D8">
            <w:pPr>
              <w:widowControl/>
              <w:jc w:val="center"/>
              <w:rPr>
                <w:color w:val="auto"/>
                <w:sz w:val="24"/>
                <w:szCs w:val="24"/>
              </w:rPr>
            </w:pPr>
            <w:r>
              <w:rPr>
                <w:rFonts w:hint="eastAsia" w:ascii="宋体" w:hAnsi="宋体" w:cs="宋体"/>
                <w:color w:val="auto"/>
                <w:kern w:val="0"/>
                <w:szCs w:val="21"/>
              </w:rPr>
              <w:t>轴承</w:t>
            </w:r>
          </w:p>
        </w:tc>
        <w:tc>
          <w:tcPr>
            <w:tcW w:w="3000" w:type="dxa"/>
            <w:vAlign w:val="center"/>
          </w:tcPr>
          <w:p w14:paraId="6A50511F">
            <w:pPr>
              <w:widowControl/>
              <w:jc w:val="left"/>
              <w:rPr>
                <w:rFonts w:hint="eastAsia"/>
                <w:color w:val="auto"/>
                <w:sz w:val="24"/>
                <w:szCs w:val="24"/>
              </w:rPr>
            </w:pPr>
            <w:r>
              <w:rPr>
                <w:rFonts w:hint="eastAsia"/>
                <w:color w:val="auto"/>
                <w:lang w:val="en-US" w:eastAsia="zh-CN"/>
              </w:rPr>
              <w:t>投标方配套</w:t>
            </w:r>
            <w:r>
              <w:rPr>
                <w:rFonts w:hint="eastAsia" w:cs="宋体" w:asciiTheme="minorEastAsia" w:hAnsiTheme="minorEastAsia"/>
                <w:color w:val="auto"/>
                <w:kern w:val="0"/>
                <w:szCs w:val="21"/>
              </w:rPr>
              <w:t xml:space="preserve"> </w:t>
            </w:r>
          </w:p>
        </w:tc>
        <w:tc>
          <w:tcPr>
            <w:tcW w:w="3379" w:type="dxa"/>
            <w:vAlign w:val="center"/>
          </w:tcPr>
          <w:p w14:paraId="4061FA39">
            <w:pPr>
              <w:widowControl/>
              <w:jc w:val="left"/>
              <w:rPr>
                <w:rFonts w:hint="eastAsia"/>
                <w:color w:val="auto"/>
                <w:sz w:val="24"/>
                <w:szCs w:val="24"/>
              </w:rPr>
            </w:pPr>
            <w:r>
              <w:rPr>
                <w:rFonts w:hint="eastAsia" w:ascii="宋体" w:hAnsi="宋体" w:cs="宋体"/>
                <w:color w:val="auto"/>
                <w:kern w:val="0"/>
                <w:szCs w:val="21"/>
              </w:rPr>
              <w:t>品牌：SKF、FAG、NSK或等同</w:t>
            </w:r>
          </w:p>
        </w:tc>
      </w:tr>
      <w:tr w14:paraId="320F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45" w:type="dxa"/>
            <w:vAlign w:val="center"/>
          </w:tcPr>
          <w:p w14:paraId="6E756CC0">
            <w:pPr>
              <w:pStyle w:val="52"/>
              <w:numPr>
                <w:ilvl w:val="0"/>
                <w:numId w:val="5"/>
              </w:numPr>
              <w:ind w:left="425" w:leftChars="0" w:hanging="425" w:firstLineChars="0"/>
              <w:jc w:val="center"/>
              <w:rPr>
                <w:color w:val="auto"/>
                <w:sz w:val="24"/>
                <w:szCs w:val="24"/>
              </w:rPr>
            </w:pPr>
          </w:p>
        </w:tc>
        <w:tc>
          <w:tcPr>
            <w:tcW w:w="1841" w:type="dxa"/>
            <w:shd w:val="clear" w:color="auto" w:fill="auto"/>
            <w:vAlign w:val="center"/>
          </w:tcPr>
          <w:p w14:paraId="531AADE1">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备品配件（如有）</w:t>
            </w:r>
          </w:p>
        </w:tc>
        <w:tc>
          <w:tcPr>
            <w:tcW w:w="3000" w:type="dxa"/>
            <w:shd w:val="clear" w:color="auto" w:fill="auto"/>
            <w:vAlign w:val="center"/>
          </w:tcPr>
          <w:p w14:paraId="5EB6B10E">
            <w:pPr>
              <w:pStyle w:val="52"/>
              <w:ind w:firstLine="0" w:firstLineChars="0"/>
              <w:jc w:val="center"/>
              <w:rPr>
                <w:rFonts w:hint="eastAsia" w:ascii="宋体" w:hAnsi="宋体" w:cs="宋体" w:eastAsiaTheme="minorEastAsia"/>
                <w:color w:val="auto"/>
                <w:kern w:val="0"/>
                <w:sz w:val="21"/>
                <w:szCs w:val="21"/>
                <w:lang w:val="en-US" w:eastAsia="zh-CN" w:bidi="ar-SA"/>
              </w:rPr>
            </w:pPr>
          </w:p>
        </w:tc>
        <w:tc>
          <w:tcPr>
            <w:tcW w:w="3379" w:type="dxa"/>
            <w:shd w:val="clear" w:color="auto" w:fill="auto"/>
            <w:vAlign w:val="center"/>
          </w:tcPr>
          <w:p w14:paraId="5EC2FAE7">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二年量备品配件</w:t>
            </w:r>
          </w:p>
        </w:tc>
      </w:tr>
      <w:tr w14:paraId="16EA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4"/>
            <w:vAlign w:val="center"/>
          </w:tcPr>
          <w:p w14:paraId="011FEEB0">
            <w:pPr>
              <w:pStyle w:val="52"/>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D79CD3C">
      <w:pPr>
        <w:pStyle w:val="52"/>
        <w:numPr>
          <w:ilvl w:val="0"/>
          <w:numId w:val="3"/>
        </w:numPr>
        <w:ind w:left="426" w:hanging="426" w:firstLineChars="0"/>
        <w:rPr>
          <w:color w:val="auto"/>
          <w:sz w:val="24"/>
          <w:szCs w:val="24"/>
        </w:rPr>
      </w:pPr>
      <w:r>
        <w:rPr>
          <w:rFonts w:hint="eastAsia"/>
          <w:color w:val="auto"/>
          <w:sz w:val="24"/>
          <w:szCs w:val="24"/>
        </w:rPr>
        <w:t>主要配套设施清单：</w:t>
      </w:r>
    </w:p>
    <w:p w14:paraId="662B0BC9">
      <w:pPr>
        <w:pStyle w:val="52"/>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color w:val="auto"/>
          <w:sz w:val="24"/>
          <w:szCs w:val="24"/>
        </w:rPr>
      </w:pPr>
      <w:r>
        <w:rPr>
          <w:color w:val="auto"/>
          <w:sz w:val="24"/>
          <w:szCs w:val="24"/>
        </w:rPr>
        <w:t>技术文件的传递</w:t>
      </w:r>
    </w:p>
    <w:p w14:paraId="18680A1A">
      <w:pPr>
        <w:pStyle w:val="52"/>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2"/>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2"/>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2"/>
        <w:numPr>
          <w:ilvl w:val="0"/>
          <w:numId w:val="3"/>
        </w:numPr>
        <w:ind w:left="426" w:hanging="426" w:firstLineChars="0"/>
        <w:rPr>
          <w:color w:val="auto"/>
          <w:sz w:val="24"/>
          <w:szCs w:val="24"/>
        </w:rPr>
      </w:pPr>
      <w:r>
        <w:rPr>
          <w:color w:val="auto"/>
          <w:sz w:val="24"/>
          <w:szCs w:val="24"/>
        </w:rPr>
        <w:t>质量保证及服务承诺</w:t>
      </w:r>
    </w:p>
    <w:p w14:paraId="2CDB65D8">
      <w:pPr>
        <w:pStyle w:val="52"/>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离心泵</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2"/>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2"/>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2"/>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2"/>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60自然日</w:t>
      </w:r>
      <w:r>
        <w:rPr>
          <w:rFonts w:hint="eastAsia" w:ascii="宋体"/>
          <w:bCs/>
          <w:color w:val="auto"/>
          <w:sz w:val="24"/>
          <w:szCs w:val="28"/>
        </w:rPr>
        <w:t>内</w:t>
      </w:r>
    </w:p>
    <w:p w14:paraId="0F6C23F1">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12个月</w:t>
      </w:r>
      <w:r>
        <w:rPr>
          <w:rFonts w:hint="eastAsia" w:ascii="宋体"/>
          <w:bCs/>
          <w:color w:val="auto"/>
          <w:sz w:val="24"/>
          <w:szCs w:val="28"/>
        </w:rPr>
        <w:t>。</w:t>
      </w:r>
    </w:p>
    <w:p w14:paraId="42AB8F5F">
      <w:pPr>
        <w:pStyle w:val="52"/>
        <w:numPr>
          <w:ilvl w:val="0"/>
          <w:numId w:val="8"/>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离心泵</w:t>
      </w:r>
      <w:r>
        <w:rPr>
          <w:rFonts w:hint="eastAsia" w:ascii="宋体"/>
          <w:bCs/>
          <w:color w:val="auto"/>
          <w:sz w:val="24"/>
          <w:szCs w:val="28"/>
        </w:rPr>
        <w:t>的供货</w:t>
      </w:r>
    </w:p>
    <w:p w14:paraId="4AA7F98A">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离心泵</w:t>
      </w:r>
      <w:r>
        <w:rPr>
          <w:rFonts w:hint="eastAsia" w:ascii="宋体"/>
          <w:bCs/>
          <w:color w:val="auto"/>
          <w:sz w:val="24"/>
          <w:szCs w:val="28"/>
        </w:rPr>
        <w:t>相关图纸/文件包含：</w:t>
      </w:r>
    </w:p>
    <w:p w14:paraId="388F904F">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离心泵设备的基础图纸、动静载荷等。</w:t>
      </w:r>
    </w:p>
    <w:p w14:paraId="1F7CB173">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597BF7E6">
      <w:pPr>
        <w:pStyle w:val="52"/>
        <w:numPr>
          <w:ilvl w:val="0"/>
          <w:numId w:val="8"/>
        </w:numPr>
        <w:spacing w:line="360" w:lineRule="auto"/>
        <w:ind w:firstLineChars="0"/>
        <w:rPr>
          <w:rFonts w:hint="eastAsia" w:ascii="宋体"/>
          <w:bCs/>
          <w:color w:val="auto"/>
          <w:sz w:val="24"/>
          <w:szCs w:val="28"/>
          <w:lang w:val="en-US" w:eastAsia="zh-CN"/>
        </w:rPr>
      </w:pPr>
      <w:r>
        <w:rPr>
          <w:rFonts w:hint="eastAsia" w:ascii="宋体"/>
          <w:bCs/>
          <w:color w:val="auto"/>
          <w:sz w:val="24"/>
          <w:szCs w:val="28"/>
        </w:rPr>
        <w:t>所有</w:t>
      </w:r>
      <w:r>
        <w:rPr>
          <w:rFonts w:hint="eastAsia" w:ascii="宋体"/>
          <w:bCs/>
          <w:color w:val="auto"/>
          <w:sz w:val="24"/>
          <w:szCs w:val="28"/>
          <w:lang w:val="en-US" w:eastAsia="zh-CN"/>
        </w:rPr>
        <w:t>包装</w:t>
      </w:r>
      <w:r>
        <w:rPr>
          <w:rFonts w:hint="eastAsia" w:ascii="宋体"/>
          <w:bCs/>
          <w:color w:val="auto"/>
          <w:sz w:val="24"/>
          <w:szCs w:val="28"/>
        </w:rPr>
        <w:t>应适合于</w:t>
      </w:r>
      <w:r>
        <w:rPr>
          <w:rFonts w:hint="eastAsia" w:ascii="宋体"/>
          <w:bCs/>
          <w:color w:val="auto"/>
          <w:sz w:val="24"/>
          <w:szCs w:val="28"/>
          <w:lang w:val="en-US" w:eastAsia="zh-CN"/>
        </w:rPr>
        <w:t>国内</w:t>
      </w:r>
      <w:r>
        <w:rPr>
          <w:rFonts w:hint="eastAsia" w:ascii="宋体"/>
          <w:bCs/>
          <w:color w:val="auto"/>
          <w:sz w:val="24"/>
          <w:szCs w:val="28"/>
        </w:rPr>
        <w:t>运输。被包装件应有妥善的防护措施且在装运中不被损伤、损坏和锈</w:t>
      </w:r>
      <w:r>
        <w:rPr>
          <w:rFonts w:hint="eastAsia" w:ascii="宋体"/>
          <w:bCs/>
          <w:color w:val="auto"/>
          <w:sz w:val="24"/>
          <w:szCs w:val="28"/>
          <w:lang w:val="en-US" w:eastAsia="zh-CN"/>
        </w:rPr>
        <w:t>蚀。每个包装箱应有两份装箱清单，一份在箱内，一份固定在箱外。</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523CAF9A">
      <w:pPr>
        <w:rPr>
          <w:color w:val="auto"/>
          <w:sz w:val="24"/>
        </w:rPr>
      </w:pPr>
    </w:p>
    <w:p w14:paraId="18A4119B">
      <w:pPr>
        <w:pStyle w:val="25"/>
        <w:rPr>
          <w:color w:val="auto"/>
          <w:sz w:val="24"/>
        </w:rPr>
      </w:pPr>
    </w:p>
    <w:p w14:paraId="6C72FFB2">
      <w:pPr>
        <w:pStyle w:val="4"/>
        <w:jc w:val="center"/>
        <w:rPr>
          <w:color w:val="auto"/>
          <w:sz w:val="24"/>
          <w:szCs w:val="28"/>
        </w:rPr>
      </w:pPr>
      <w:bookmarkStart w:id="24" w:name="_Toc414010748"/>
      <w:bookmarkStart w:id="25" w:name="_Toc11010"/>
      <w:bookmarkStart w:id="26" w:name="_Toc410201041"/>
      <w:bookmarkStart w:id="124" w:name="_GoBack"/>
      <w:bookmarkEnd w:id="124"/>
      <w:r>
        <w:rPr>
          <w:rFonts w:hint="eastAsia"/>
          <w:color w:val="auto"/>
        </w:rPr>
        <w:t>第四部分评标标准和方法</w:t>
      </w:r>
      <w:bookmarkEnd w:id="24"/>
      <w:bookmarkEnd w:id="25"/>
      <w:bookmarkEnd w:id="26"/>
    </w:p>
    <w:p w14:paraId="12C83A4A">
      <w:pPr>
        <w:numPr>
          <w:ilvl w:val="0"/>
          <w:numId w:val="10"/>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0"/>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0"/>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离心泵</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w:t>
      </w:r>
      <w:r>
        <w:rPr>
          <w:rFonts w:hint="eastAsia" w:ascii="Calibri" w:hAnsi="Calibri" w:cs="Times New Roman"/>
          <w:color w:val="auto"/>
          <w:kern w:val="2"/>
          <w:sz w:val="21"/>
          <w:szCs w:val="22"/>
          <w:lang w:val="en-US" w:eastAsia="zh-CN" w:bidi="ar-SA"/>
        </w:rPr>
        <w:t>2026-009</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4"/>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2</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w:t>
            </w:r>
            <w:r>
              <w:rPr>
                <w:rFonts w:hint="eastAsia" w:ascii="宋体" w:hAnsi="宋体" w:cs="宋体"/>
                <w:color w:val="auto"/>
                <w:kern w:val="0"/>
                <w:szCs w:val="21"/>
                <w:lang w:val="en-US" w:eastAsia="zh-CN" w:bidi="ar"/>
              </w:rPr>
              <w:t>1（E2）</w:t>
            </w:r>
            <w:r>
              <w:rPr>
                <w:rFonts w:hint="eastAsia" w:ascii="宋体" w:hAnsi="宋体" w:cs="宋体"/>
                <w:color w:val="auto"/>
                <w:kern w:val="0"/>
                <w:szCs w:val="21"/>
                <w:lang w:bidi="ar"/>
              </w:rPr>
              <w:t xml:space="preserv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高于评标基准价一个百分点的扣分值，</w:t>
            </w:r>
            <w:r>
              <w:rPr>
                <w:rFonts w:hint="eastAsia" w:ascii="宋体" w:hAnsi="宋体" w:cs="宋体"/>
                <w:color w:val="auto"/>
                <w:kern w:val="0"/>
                <w:szCs w:val="21"/>
                <w:lang w:val="en-US" w:eastAsia="zh-CN" w:bidi="ar"/>
              </w:rPr>
              <w:t>高于评标基准价的为E1，E1值为1，低于评标基准价的为E2，</w:t>
            </w:r>
            <w:r>
              <w:rPr>
                <w:rFonts w:hint="eastAsia" w:ascii="宋体" w:hAnsi="宋体" w:cs="宋体"/>
                <w:color w:val="auto"/>
                <w:kern w:val="0"/>
                <w:szCs w:val="21"/>
                <w:lang w:bidi="ar"/>
              </w:rPr>
              <w:t>E</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值为 </w:t>
            </w:r>
            <w:r>
              <w:rPr>
                <w:rFonts w:hint="eastAsia" w:ascii="宋体" w:hAnsi="宋体" w:cs="宋体"/>
                <w:color w:val="auto"/>
                <w:kern w:val="0"/>
                <w:szCs w:val="21"/>
                <w:lang w:val="en-US" w:eastAsia="zh-CN" w:bidi="ar"/>
              </w:rPr>
              <w:t>0.5，</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0"/>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268"/>
      <w:bookmarkStart w:id="31" w:name="_Toc410142026"/>
      <w:bookmarkStart w:id="32" w:name="_Toc409991184"/>
      <w:bookmarkStart w:id="33" w:name="_Toc410144149"/>
      <w:bookmarkStart w:id="34" w:name="_Toc410142649"/>
    </w:p>
    <w:bookmarkEnd w:id="30"/>
    <w:bookmarkEnd w:id="31"/>
    <w:bookmarkEnd w:id="32"/>
    <w:bookmarkEnd w:id="33"/>
    <w:bookmarkEnd w:id="34"/>
    <w:p w14:paraId="4CA4A513">
      <w:pPr>
        <w:pStyle w:val="4"/>
        <w:jc w:val="center"/>
        <w:rPr>
          <w:color w:val="auto"/>
        </w:rPr>
      </w:pPr>
      <w:bookmarkStart w:id="35" w:name="_Toc22843"/>
      <w:r>
        <w:rPr>
          <w:rFonts w:hint="eastAsia"/>
          <w:color w:val="auto"/>
        </w:rPr>
        <w:t>第五部分附件（投标文件格式）</w:t>
      </w:r>
      <w:bookmarkEnd w:id="35"/>
    </w:p>
    <w:p w14:paraId="3600FBC8">
      <w:pPr>
        <w:pStyle w:val="4"/>
        <w:rPr>
          <w:color w:val="auto"/>
        </w:rPr>
      </w:pPr>
      <w:bookmarkStart w:id="36" w:name="_Toc415000745"/>
      <w:bookmarkStart w:id="37" w:name="_Toc20483"/>
      <w:r>
        <w:rPr>
          <w:rFonts w:hint="eastAsia"/>
          <w:color w:val="auto"/>
        </w:rPr>
        <w:t>一、技术投标文件</w:t>
      </w:r>
      <w:bookmarkEnd w:id="36"/>
      <w:bookmarkEnd w:id="37"/>
    </w:p>
    <w:p w14:paraId="6086C20B">
      <w:pPr>
        <w:pStyle w:val="5"/>
        <w:rPr>
          <w:color w:val="auto"/>
        </w:rPr>
      </w:pPr>
      <w:bookmarkStart w:id="38" w:name="_Toc409991185"/>
      <w:bookmarkStart w:id="39" w:name="_Toc409991269"/>
      <w:bookmarkStart w:id="40" w:name="_Toc410142027"/>
      <w:bookmarkStart w:id="41" w:name="_Toc410142650"/>
      <w:bookmarkStart w:id="42" w:name="_Toc410144150"/>
      <w:bookmarkStart w:id="43" w:name="_Toc25536"/>
      <w:r>
        <w:rPr>
          <w:rFonts w:hint="eastAsia"/>
          <w:color w:val="auto"/>
        </w:rPr>
        <w:t>（一）投标资质</w:t>
      </w:r>
      <w:bookmarkEnd w:id="38"/>
      <w:bookmarkEnd w:id="39"/>
      <w:bookmarkEnd w:id="40"/>
      <w:bookmarkEnd w:id="41"/>
      <w:bookmarkEnd w:id="42"/>
      <w:bookmarkEnd w:id="43"/>
    </w:p>
    <w:p w14:paraId="2B82BD66">
      <w:pPr>
        <w:pStyle w:val="6"/>
        <w:tabs>
          <w:tab w:val="center" w:pos="4253"/>
        </w:tabs>
        <w:rPr>
          <w:color w:val="auto"/>
        </w:rPr>
      </w:pPr>
      <w:bookmarkStart w:id="44" w:name="_Toc2815"/>
      <w:bookmarkStart w:id="45" w:name="_Toc415000747"/>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-离心泵采购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离心泵</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6"/>
        <w:tabs>
          <w:tab w:val="center" w:pos="4111"/>
        </w:tabs>
        <w:rPr>
          <w:color w:val="auto"/>
        </w:rPr>
      </w:pPr>
      <w:bookmarkStart w:id="46" w:name="_Toc410142029"/>
      <w:bookmarkStart w:id="47" w:name="_Toc19916"/>
      <w:bookmarkStart w:id="48" w:name="_Toc410142652"/>
      <w:bookmarkStart w:id="49" w:name="_Toc410144152"/>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6"/>
        <w:tabs>
          <w:tab w:val="center" w:pos="4111"/>
        </w:tabs>
        <w:rPr>
          <w:color w:val="auto"/>
        </w:rPr>
      </w:pPr>
      <w:r>
        <w:rPr>
          <w:color w:val="auto"/>
        </w:rPr>
        <w:br w:type="page"/>
      </w:r>
      <w:bookmarkStart w:id="50" w:name="_Toc31735"/>
      <w:bookmarkStart w:id="51" w:name="_Toc410144153"/>
      <w:bookmarkStart w:id="52" w:name="_Toc410142030"/>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6</w:t>
      </w:r>
      <w:r>
        <w:rPr>
          <w:rFonts w:hint="eastAsia" w:ascii="宋体"/>
          <w:bCs/>
          <w:color w:val="auto"/>
          <w:sz w:val="28"/>
          <w:szCs w:val="28"/>
          <w:lang w:eastAsia="zh-CN"/>
        </w:rPr>
        <w:t>月</w:t>
      </w:r>
      <w:r>
        <w:rPr>
          <w:rFonts w:hint="eastAsia" w:ascii="宋体"/>
          <w:bCs/>
          <w:color w:val="auto"/>
          <w:sz w:val="28"/>
          <w:szCs w:val="28"/>
          <w:lang w:val="en-US" w:eastAsia="zh-CN"/>
        </w:rPr>
        <w:t>25</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6"/>
        <w:tabs>
          <w:tab w:val="center" w:pos="4111"/>
        </w:tabs>
        <w:rPr>
          <w:rFonts w:hint="eastAsia" w:hAnsi="宋体"/>
          <w:color w:val="auto"/>
        </w:rPr>
      </w:pPr>
      <w:r>
        <w:rPr>
          <w:color w:val="auto"/>
        </w:rPr>
        <w:br w:type="page"/>
      </w:r>
      <w:bookmarkStart w:id="54" w:name="_Toc410142031"/>
      <w:bookmarkStart w:id="55" w:name="_Toc410142654"/>
      <w:bookmarkStart w:id="56" w:name="_Toc410144154"/>
      <w:bookmarkStart w:id="57" w:name="_Toc27956"/>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6"/>
        <w:tabs>
          <w:tab w:val="center" w:pos="4253"/>
        </w:tabs>
        <w:rPr>
          <w:color w:val="auto"/>
        </w:rPr>
      </w:pPr>
      <w:r>
        <w:rPr>
          <w:color w:val="auto"/>
        </w:rPr>
        <w:br w:type="page"/>
      </w:r>
      <w:bookmarkStart w:id="58" w:name="_Toc410142655"/>
      <w:bookmarkStart w:id="59" w:name="_Toc410144155"/>
      <w:bookmarkStart w:id="60" w:name="_Toc18423"/>
      <w:bookmarkStart w:id="61" w:name="_Toc410142032"/>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6"/>
        <w:tabs>
          <w:tab w:val="center" w:pos="4253"/>
        </w:tabs>
        <w:rPr>
          <w:color w:val="auto"/>
        </w:rPr>
      </w:pPr>
      <w:r>
        <w:rPr>
          <w:color w:val="auto"/>
        </w:rPr>
        <w:br w:type="page"/>
      </w:r>
      <w:bookmarkStart w:id="62" w:name="_Toc410142033"/>
      <w:bookmarkStart w:id="63" w:name="_Toc410144156"/>
      <w:bookmarkStart w:id="64" w:name="_Toc1840"/>
      <w:bookmarkStart w:id="65" w:name="_Toc410142656"/>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5"/>
        <w:rPr>
          <w:color w:val="auto"/>
        </w:rPr>
      </w:pPr>
      <w:r>
        <w:rPr>
          <w:rFonts w:ascii="黑体" w:hAnsi="宋体"/>
          <w:color w:val="auto"/>
        </w:rPr>
        <w:br w:type="page"/>
      </w:r>
      <w:bookmarkStart w:id="66" w:name="_Toc410144157"/>
      <w:bookmarkStart w:id="67" w:name="_Toc409991186"/>
      <w:bookmarkStart w:id="68" w:name="_Toc409991270"/>
      <w:bookmarkStart w:id="69" w:name="_Toc410142034"/>
      <w:bookmarkStart w:id="70" w:name="_Toc415000753"/>
      <w:bookmarkStart w:id="71" w:name="_Toc2606"/>
      <w:r>
        <w:rPr>
          <w:rFonts w:hint="eastAsia"/>
          <w:color w:val="auto"/>
        </w:rPr>
        <w:t>（二）技术响应</w:t>
      </w:r>
      <w:bookmarkEnd w:id="66"/>
      <w:bookmarkEnd w:id="67"/>
      <w:bookmarkEnd w:id="68"/>
      <w:bookmarkEnd w:id="69"/>
      <w:bookmarkEnd w:id="70"/>
      <w:bookmarkEnd w:id="71"/>
    </w:p>
    <w:p w14:paraId="30785D61">
      <w:pPr>
        <w:pStyle w:val="6"/>
        <w:tabs>
          <w:tab w:val="center" w:pos="4253"/>
        </w:tabs>
        <w:rPr>
          <w:color w:val="auto"/>
        </w:rPr>
      </w:pPr>
      <w:bookmarkStart w:id="72" w:name="_Toc410142035"/>
      <w:bookmarkStart w:id="73" w:name="_Toc410142658"/>
      <w:bookmarkStart w:id="74" w:name="_Toc410144158"/>
      <w:bookmarkStart w:id="75" w:name="_Toc29093"/>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6"/>
        <w:tabs>
          <w:tab w:val="center" w:pos="4253"/>
        </w:tabs>
        <w:rPr>
          <w:rFonts w:hint="eastAsia" w:ascii="黑体" w:eastAsia="黑体"/>
          <w:color w:val="auto"/>
          <w:sz w:val="32"/>
        </w:rPr>
      </w:pPr>
      <w:r>
        <w:rPr>
          <w:color w:val="auto"/>
        </w:rPr>
        <w:br w:type="page"/>
      </w:r>
      <w:bookmarkStart w:id="76" w:name="_Toc4763"/>
      <w:bookmarkStart w:id="77" w:name="_Toc410142036"/>
      <w:bookmarkStart w:id="78" w:name="_Toc415000755"/>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default" w:ascii="黑体" w:eastAsia="黑体"/>
          <w:color w:val="auto"/>
          <w:sz w:val="32"/>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6"/>
        <w:tabs>
          <w:tab w:val="center" w:pos="4253"/>
        </w:tabs>
        <w:rPr>
          <w:rFonts w:hint="eastAsia" w:ascii="黑体" w:eastAsia="黑体"/>
          <w:color w:val="auto"/>
          <w:sz w:val="32"/>
        </w:rPr>
      </w:pPr>
      <w:r>
        <w:rPr>
          <w:color w:val="auto"/>
        </w:rPr>
        <w:br w:type="page"/>
      </w:r>
      <w:bookmarkStart w:id="79" w:name="_Toc28574"/>
      <w:bookmarkStart w:id="80" w:name="_Toc410142037"/>
      <w:bookmarkStart w:id="81" w:name="_Toc415000756"/>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default" w:ascii="宋体"/>
          <w:color w:val="auto"/>
          <w:sz w:val="28"/>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6"/>
        <w:tabs>
          <w:tab w:val="center" w:pos="4253"/>
        </w:tabs>
        <w:rPr>
          <w:color w:val="auto"/>
        </w:rPr>
      </w:pPr>
      <w:bookmarkStart w:id="82" w:name="_Toc1811"/>
      <w:bookmarkStart w:id="83" w:name="_Toc410142661"/>
      <w:bookmarkStart w:id="84" w:name="_Toc410142038"/>
      <w:bookmarkStart w:id="85" w:name="_Toc41014416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3</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6"/>
        <w:tabs>
          <w:tab w:val="center" w:pos="4111"/>
        </w:tabs>
        <w:rPr>
          <w:color w:val="auto"/>
        </w:rPr>
      </w:pPr>
      <w:bookmarkStart w:id="86" w:name="_Toc10919"/>
      <w:bookmarkStart w:id="87" w:name="_Toc410144163"/>
      <w:bookmarkStart w:id="88" w:name="_Toc410142663"/>
      <w:bookmarkStart w:id="89" w:name="_Toc410142040"/>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6"/>
        <w:tabs>
          <w:tab w:val="center" w:pos="4253"/>
        </w:tabs>
        <w:rPr>
          <w:rFonts w:ascii="宋体"/>
          <w:color w:val="auto"/>
        </w:rPr>
      </w:pPr>
      <w:r>
        <w:rPr>
          <w:rFonts w:hAnsi="宋体"/>
          <w:color w:val="auto"/>
        </w:rPr>
        <w:br w:type="page"/>
      </w:r>
    </w:p>
    <w:p w14:paraId="6A00DB71">
      <w:pPr>
        <w:pStyle w:val="6"/>
        <w:tabs>
          <w:tab w:val="center" w:pos="0"/>
          <w:tab w:val="center" w:pos="4111"/>
          <w:tab w:val="center" w:pos="6663"/>
        </w:tabs>
        <w:rPr>
          <w:rFonts w:hint="eastAsia" w:ascii="黑体" w:eastAsia="黑体"/>
          <w:color w:val="auto"/>
          <w:sz w:val="32"/>
        </w:rPr>
      </w:pPr>
      <w:bookmarkStart w:id="91" w:name="_Toc25025"/>
      <w:bookmarkStart w:id="92" w:name="_Toc410142666"/>
      <w:bookmarkStart w:id="93" w:name="_Toc410144166"/>
      <w:bookmarkStart w:id="94" w:name="_Toc410142043"/>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6"/>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6"/>
        <w:tabs>
          <w:tab w:val="center" w:pos="4253"/>
        </w:tabs>
        <w:rPr>
          <w:rFonts w:hint="eastAsia" w:ascii="黑体" w:eastAsia="黑体"/>
          <w:color w:val="auto"/>
          <w:sz w:val="32"/>
        </w:rPr>
      </w:pPr>
      <w:bookmarkStart w:id="96" w:name="_Toc24644"/>
      <w:bookmarkStart w:id="97" w:name="_Toc410142044"/>
      <w:bookmarkStart w:id="98" w:name="_Toc410144167"/>
      <w:bookmarkStart w:id="99" w:name="_Toc410142667"/>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4"/>
        <w:rPr>
          <w:color w:val="auto"/>
        </w:rPr>
      </w:pPr>
      <w:bookmarkStart w:id="100" w:name="_Toc20272"/>
      <w:bookmarkStart w:id="101" w:name="_Toc409991187"/>
      <w:bookmarkStart w:id="102" w:name="_Toc410142049"/>
      <w:bookmarkStart w:id="103" w:name="_Toc409991271"/>
      <w:bookmarkStart w:id="104" w:name="_Toc415000768"/>
      <w:r>
        <w:rPr>
          <w:rFonts w:hint="eastAsia"/>
          <w:color w:val="auto"/>
        </w:rPr>
        <w:t>二、商务投标文件</w:t>
      </w:r>
      <w:bookmarkEnd w:id="100"/>
      <w:bookmarkEnd w:id="101"/>
      <w:bookmarkEnd w:id="102"/>
      <w:bookmarkEnd w:id="103"/>
      <w:bookmarkEnd w:id="104"/>
    </w:p>
    <w:p w14:paraId="011DC259">
      <w:pPr>
        <w:pStyle w:val="6"/>
        <w:tabs>
          <w:tab w:val="center" w:pos="5103"/>
        </w:tabs>
        <w:jc w:val="center"/>
        <w:rPr>
          <w:color w:val="auto"/>
          <w:sz w:val="36"/>
        </w:rPr>
      </w:pPr>
      <w:bookmarkStart w:id="105" w:name="_Toc20756"/>
      <w:bookmarkStart w:id="106" w:name="_Toc410142673"/>
      <w:bookmarkStart w:id="107" w:name="_Toc410142050"/>
      <w:bookmarkStart w:id="108" w:name="_Toc410144173"/>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离心泵采购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4174"/>
      <w:bookmarkStart w:id="110" w:name="_Toc410142674"/>
      <w:bookmarkStart w:id="111" w:name="_Toc410142051"/>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6"/>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6"/>
        <w:tabs>
          <w:tab w:val="center" w:pos="4253"/>
        </w:tabs>
        <w:jc w:val="center"/>
        <w:rPr>
          <w:rFonts w:ascii="黑体" w:eastAsia="黑体"/>
          <w:color w:val="auto"/>
          <w:sz w:val="32"/>
        </w:rPr>
      </w:pPr>
      <w:bookmarkStart w:id="113" w:name="_Toc410144175"/>
      <w:bookmarkStart w:id="114" w:name="_Toc22757"/>
      <w:bookmarkStart w:id="115" w:name="_Toc410142675"/>
      <w:bookmarkStart w:id="116" w:name="_Toc410142052"/>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676"/>
      <w:bookmarkStart w:id="118" w:name="_Toc410144176"/>
      <w:bookmarkStart w:id="119" w:name="_Toc410142053"/>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6"/>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6"/>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6"/>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离心泵采购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eastAsiaTheme="minorEastAsia"/>
          <w:color w:val="auto"/>
          <w:szCs w:val="21"/>
        </w:rPr>
        <w:t>TRHG-</w:t>
      </w:r>
      <w:r>
        <w:rPr>
          <w:rFonts w:hint="eastAsia" w:asciiTheme="minorEastAsia" w:hAnsiTheme="minorEastAsia"/>
          <w:color w:val="auto"/>
          <w:szCs w:val="21"/>
          <w:lang w:eastAsia="zh-CN"/>
        </w:rPr>
        <w:t>2026-009</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7"/>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7"/>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7"/>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7"/>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8"/>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8"/>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8"/>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8"/>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8"/>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8"/>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8"/>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8"/>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8"/>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4996D1"/>
    <w:multiLevelType w:val="singleLevel"/>
    <w:tmpl w:val="3C4996D1"/>
    <w:lvl w:ilvl="0" w:tentative="0">
      <w:start w:val="1"/>
      <w:numFmt w:val="lowerLetter"/>
      <w:suff w:val="nothing"/>
      <w:lvlText w:val="%1、"/>
      <w:lvlJc w:val="left"/>
    </w:lvl>
  </w:abstractNum>
  <w:abstractNum w:abstractNumId="6">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4"/>
  </w:num>
  <w:num w:numId="4">
    <w:abstractNumId w:val="7"/>
  </w:num>
  <w:num w:numId="5">
    <w:abstractNumId w:val="1"/>
  </w:num>
  <w:num w:numId="6">
    <w:abstractNumId w:val="6"/>
  </w:num>
  <w:num w:numId="7">
    <w:abstractNumId w:val="3"/>
  </w:num>
  <w:num w:numId="8">
    <w:abstractNumId w:val="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204AB9"/>
    <w:rsid w:val="017442FA"/>
    <w:rsid w:val="01F20C46"/>
    <w:rsid w:val="022831DB"/>
    <w:rsid w:val="02377801"/>
    <w:rsid w:val="028E4D6B"/>
    <w:rsid w:val="031A4A2D"/>
    <w:rsid w:val="038A0513"/>
    <w:rsid w:val="04663E6A"/>
    <w:rsid w:val="05204B33"/>
    <w:rsid w:val="052676B9"/>
    <w:rsid w:val="058A7C48"/>
    <w:rsid w:val="05C45739"/>
    <w:rsid w:val="077F1302"/>
    <w:rsid w:val="0783401A"/>
    <w:rsid w:val="08CC660D"/>
    <w:rsid w:val="08EF5238"/>
    <w:rsid w:val="09510D55"/>
    <w:rsid w:val="09585174"/>
    <w:rsid w:val="09A74AEC"/>
    <w:rsid w:val="09C76A84"/>
    <w:rsid w:val="09DD0FFE"/>
    <w:rsid w:val="09E242A6"/>
    <w:rsid w:val="0A243597"/>
    <w:rsid w:val="0A851326"/>
    <w:rsid w:val="0A874D1D"/>
    <w:rsid w:val="0A9358E8"/>
    <w:rsid w:val="0B4372B0"/>
    <w:rsid w:val="0BC639A4"/>
    <w:rsid w:val="0C493642"/>
    <w:rsid w:val="0C542D5E"/>
    <w:rsid w:val="0C662A91"/>
    <w:rsid w:val="0C800229"/>
    <w:rsid w:val="0C984CDB"/>
    <w:rsid w:val="0CA072C0"/>
    <w:rsid w:val="0CD81BE1"/>
    <w:rsid w:val="0CD8573D"/>
    <w:rsid w:val="0CD914B5"/>
    <w:rsid w:val="0CF32576"/>
    <w:rsid w:val="0D4548C2"/>
    <w:rsid w:val="0D4A5F0F"/>
    <w:rsid w:val="0DBF25EE"/>
    <w:rsid w:val="0DD300B2"/>
    <w:rsid w:val="0E220FE6"/>
    <w:rsid w:val="0E506DB7"/>
    <w:rsid w:val="0F154619"/>
    <w:rsid w:val="0F7D6CDF"/>
    <w:rsid w:val="0F934627"/>
    <w:rsid w:val="0FA43FFC"/>
    <w:rsid w:val="10141182"/>
    <w:rsid w:val="108325C8"/>
    <w:rsid w:val="10A2232D"/>
    <w:rsid w:val="10AA73F0"/>
    <w:rsid w:val="11266001"/>
    <w:rsid w:val="11EB3362"/>
    <w:rsid w:val="11F36B75"/>
    <w:rsid w:val="135B2888"/>
    <w:rsid w:val="143F42F3"/>
    <w:rsid w:val="168567F5"/>
    <w:rsid w:val="16A80132"/>
    <w:rsid w:val="16BE59A3"/>
    <w:rsid w:val="16CD3E38"/>
    <w:rsid w:val="17281F21"/>
    <w:rsid w:val="173B3498"/>
    <w:rsid w:val="173B4A90"/>
    <w:rsid w:val="177471B6"/>
    <w:rsid w:val="17805D45"/>
    <w:rsid w:val="17A34B99"/>
    <w:rsid w:val="17B4205A"/>
    <w:rsid w:val="18015B6E"/>
    <w:rsid w:val="180B10BC"/>
    <w:rsid w:val="19420159"/>
    <w:rsid w:val="19435602"/>
    <w:rsid w:val="195913FA"/>
    <w:rsid w:val="19C91969"/>
    <w:rsid w:val="19E719CA"/>
    <w:rsid w:val="1A601DE9"/>
    <w:rsid w:val="1A606D71"/>
    <w:rsid w:val="1AB16F0B"/>
    <w:rsid w:val="1AFC1190"/>
    <w:rsid w:val="1BB158AD"/>
    <w:rsid w:val="1BE14B62"/>
    <w:rsid w:val="1C1C1E05"/>
    <w:rsid w:val="1CF865A8"/>
    <w:rsid w:val="1E733D65"/>
    <w:rsid w:val="1E990AA4"/>
    <w:rsid w:val="1EE13EC7"/>
    <w:rsid w:val="1F07086C"/>
    <w:rsid w:val="1F3E7310"/>
    <w:rsid w:val="1FC53527"/>
    <w:rsid w:val="206375BB"/>
    <w:rsid w:val="20693422"/>
    <w:rsid w:val="2080479F"/>
    <w:rsid w:val="210C7C53"/>
    <w:rsid w:val="212136FE"/>
    <w:rsid w:val="21352D06"/>
    <w:rsid w:val="219C0FD7"/>
    <w:rsid w:val="21D50340"/>
    <w:rsid w:val="21F11323"/>
    <w:rsid w:val="22C53076"/>
    <w:rsid w:val="24125430"/>
    <w:rsid w:val="242913A3"/>
    <w:rsid w:val="24343C56"/>
    <w:rsid w:val="244C78C6"/>
    <w:rsid w:val="246D27B7"/>
    <w:rsid w:val="24AA7567"/>
    <w:rsid w:val="25063A83"/>
    <w:rsid w:val="250B7FF3"/>
    <w:rsid w:val="256C6F12"/>
    <w:rsid w:val="257A518B"/>
    <w:rsid w:val="25B73093"/>
    <w:rsid w:val="25B74631"/>
    <w:rsid w:val="26200F51"/>
    <w:rsid w:val="2646071A"/>
    <w:rsid w:val="27163532"/>
    <w:rsid w:val="2734560A"/>
    <w:rsid w:val="27547C5E"/>
    <w:rsid w:val="282835C4"/>
    <w:rsid w:val="28AD3ACA"/>
    <w:rsid w:val="29B93F54"/>
    <w:rsid w:val="2A6E1037"/>
    <w:rsid w:val="2BF832AE"/>
    <w:rsid w:val="2C60378F"/>
    <w:rsid w:val="2CCA2E9C"/>
    <w:rsid w:val="2D6F75A0"/>
    <w:rsid w:val="2D7828F8"/>
    <w:rsid w:val="2DAE2D4D"/>
    <w:rsid w:val="2DF00EEA"/>
    <w:rsid w:val="2E1861CC"/>
    <w:rsid w:val="2E1974D7"/>
    <w:rsid w:val="2ED753FC"/>
    <w:rsid w:val="2F4F7689"/>
    <w:rsid w:val="2F5E5B1E"/>
    <w:rsid w:val="2F8A246F"/>
    <w:rsid w:val="2FB725D1"/>
    <w:rsid w:val="30B023A9"/>
    <w:rsid w:val="30DD6739"/>
    <w:rsid w:val="31615567"/>
    <w:rsid w:val="32607DFF"/>
    <w:rsid w:val="3268280F"/>
    <w:rsid w:val="32A92D2C"/>
    <w:rsid w:val="32D212F4"/>
    <w:rsid w:val="32DB4D32"/>
    <w:rsid w:val="334E7ECF"/>
    <w:rsid w:val="335A2AA0"/>
    <w:rsid w:val="335D7E9A"/>
    <w:rsid w:val="337D0287"/>
    <w:rsid w:val="33884F17"/>
    <w:rsid w:val="345474EF"/>
    <w:rsid w:val="34583581"/>
    <w:rsid w:val="34637732"/>
    <w:rsid w:val="35597098"/>
    <w:rsid w:val="358132C0"/>
    <w:rsid w:val="35982A27"/>
    <w:rsid w:val="35CD47D7"/>
    <w:rsid w:val="366003CD"/>
    <w:rsid w:val="36E43A34"/>
    <w:rsid w:val="372961BB"/>
    <w:rsid w:val="37B926FB"/>
    <w:rsid w:val="37C41FF5"/>
    <w:rsid w:val="384A2F64"/>
    <w:rsid w:val="38726196"/>
    <w:rsid w:val="38CE5AC2"/>
    <w:rsid w:val="390F1C37"/>
    <w:rsid w:val="391B43EE"/>
    <w:rsid w:val="3962445C"/>
    <w:rsid w:val="39E66F2C"/>
    <w:rsid w:val="39FD336A"/>
    <w:rsid w:val="3A101EE2"/>
    <w:rsid w:val="3A655221"/>
    <w:rsid w:val="3A7E0E22"/>
    <w:rsid w:val="3AAB6B8E"/>
    <w:rsid w:val="3BD61A46"/>
    <w:rsid w:val="3DB002C5"/>
    <w:rsid w:val="3E010953"/>
    <w:rsid w:val="3E067AAC"/>
    <w:rsid w:val="3F1A07FC"/>
    <w:rsid w:val="3FE71217"/>
    <w:rsid w:val="40700D92"/>
    <w:rsid w:val="40CD680A"/>
    <w:rsid w:val="40E417BE"/>
    <w:rsid w:val="416845DA"/>
    <w:rsid w:val="41722EB8"/>
    <w:rsid w:val="41E53E7C"/>
    <w:rsid w:val="429A3153"/>
    <w:rsid w:val="42B37AD7"/>
    <w:rsid w:val="432418B7"/>
    <w:rsid w:val="43453FEA"/>
    <w:rsid w:val="434846C3"/>
    <w:rsid w:val="444729ED"/>
    <w:rsid w:val="44B4777C"/>
    <w:rsid w:val="452A32B8"/>
    <w:rsid w:val="45367494"/>
    <w:rsid w:val="4546036C"/>
    <w:rsid w:val="458A4B1F"/>
    <w:rsid w:val="460E5854"/>
    <w:rsid w:val="4622025B"/>
    <w:rsid w:val="463506C0"/>
    <w:rsid w:val="466435FC"/>
    <w:rsid w:val="468C424A"/>
    <w:rsid w:val="4712527C"/>
    <w:rsid w:val="47317659"/>
    <w:rsid w:val="473C453F"/>
    <w:rsid w:val="47543984"/>
    <w:rsid w:val="47787DD0"/>
    <w:rsid w:val="48BD2168"/>
    <w:rsid w:val="49105C83"/>
    <w:rsid w:val="494D2A33"/>
    <w:rsid w:val="49933B3B"/>
    <w:rsid w:val="49AF6C96"/>
    <w:rsid w:val="4B5D6832"/>
    <w:rsid w:val="4BCA6ACD"/>
    <w:rsid w:val="4BD45EA7"/>
    <w:rsid w:val="4BEE476E"/>
    <w:rsid w:val="4C2C76C2"/>
    <w:rsid w:val="4C417D2D"/>
    <w:rsid w:val="4CFD207A"/>
    <w:rsid w:val="4D704F42"/>
    <w:rsid w:val="4DE6344D"/>
    <w:rsid w:val="4E0726AF"/>
    <w:rsid w:val="4E9624CA"/>
    <w:rsid w:val="4EFA45AB"/>
    <w:rsid w:val="4F0771E0"/>
    <w:rsid w:val="4F5543EF"/>
    <w:rsid w:val="4F8C5D28"/>
    <w:rsid w:val="50555457"/>
    <w:rsid w:val="50812FC2"/>
    <w:rsid w:val="50E21AD7"/>
    <w:rsid w:val="51DB45F4"/>
    <w:rsid w:val="523765A2"/>
    <w:rsid w:val="52CA6EA2"/>
    <w:rsid w:val="536C2239"/>
    <w:rsid w:val="53FC752F"/>
    <w:rsid w:val="54173689"/>
    <w:rsid w:val="55886BA1"/>
    <w:rsid w:val="55913CA7"/>
    <w:rsid w:val="55A51501"/>
    <w:rsid w:val="56981066"/>
    <w:rsid w:val="576E293E"/>
    <w:rsid w:val="587A558F"/>
    <w:rsid w:val="59794958"/>
    <w:rsid w:val="598755EE"/>
    <w:rsid w:val="59C644F0"/>
    <w:rsid w:val="59FF6425"/>
    <w:rsid w:val="5AAE6397"/>
    <w:rsid w:val="5B77749C"/>
    <w:rsid w:val="5B874E3C"/>
    <w:rsid w:val="5BDB09B2"/>
    <w:rsid w:val="5C014388"/>
    <w:rsid w:val="5EB74A92"/>
    <w:rsid w:val="5F112E9B"/>
    <w:rsid w:val="5F2E213A"/>
    <w:rsid w:val="5FBF2C42"/>
    <w:rsid w:val="5FD502D9"/>
    <w:rsid w:val="5FE13A7D"/>
    <w:rsid w:val="60FB46CB"/>
    <w:rsid w:val="61361C90"/>
    <w:rsid w:val="61A5610F"/>
    <w:rsid w:val="61D83DAE"/>
    <w:rsid w:val="623065F6"/>
    <w:rsid w:val="62826FAF"/>
    <w:rsid w:val="632577F9"/>
    <w:rsid w:val="6425175A"/>
    <w:rsid w:val="6441108B"/>
    <w:rsid w:val="64B33C3A"/>
    <w:rsid w:val="64D433B9"/>
    <w:rsid w:val="64F8789F"/>
    <w:rsid w:val="65203DE6"/>
    <w:rsid w:val="653205B6"/>
    <w:rsid w:val="65B96E73"/>
    <w:rsid w:val="660507DB"/>
    <w:rsid w:val="66246CA2"/>
    <w:rsid w:val="66620CC2"/>
    <w:rsid w:val="6686630A"/>
    <w:rsid w:val="685A617B"/>
    <w:rsid w:val="690D2C0C"/>
    <w:rsid w:val="69444C11"/>
    <w:rsid w:val="69B16201"/>
    <w:rsid w:val="69E103BE"/>
    <w:rsid w:val="69EC374B"/>
    <w:rsid w:val="6A2E3D63"/>
    <w:rsid w:val="6A8D6CDC"/>
    <w:rsid w:val="6B42222A"/>
    <w:rsid w:val="6B882FFF"/>
    <w:rsid w:val="6BA8358E"/>
    <w:rsid w:val="6BD8245C"/>
    <w:rsid w:val="6BE65222"/>
    <w:rsid w:val="6C0B4E33"/>
    <w:rsid w:val="6C5272D4"/>
    <w:rsid w:val="6D425658"/>
    <w:rsid w:val="6D9A4379"/>
    <w:rsid w:val="6E1B015A"/>
    <w:rsid w:val="6E9248C1"/>
    <w:rsid w:val="6EC16F54"/>
    <w:rsid w:val="6F6618A9"/>
    <w:rsid w:val="70047A93"/>
    <w:rsid w:val="700A0487"/>
    <w:rsid w:val="703C72B6"/>
    <w:rsid w:val="70FB0BFC"/>
    <w:rsid w:val="710B5252"/>
    <w:rsid w:val="71135510"/>
    <w:rsid w:val="71AB709E"/>
    <w:rsid w:val="71D21478"/>
    <w:rsid w:val="72226BE2"/>
    <w:rsid w:val="72A815C2"/>
    <w:rsid w:val="72A921D9"/>
    <w:rsid w:val="72C8016F"/>
    <w:rsid w:val="72D07765"/>
    <w:rsid w:val="737E57B9"/>
    <w:rsid w:val="73B47087"/>
    <w:rsid w:val="73F55FED"/>
    <w:rsid w:val="74113D33"/>
    <w:rsid w:val="74B44463"/>
    <w:rsid w:val="74D80B53"/>
    <w:rsid w:val="75260653"/>
    <w:rsid w:val="75973E47"/>
    <w:rsid w:val="759F29CA"/>
    <w:rsid w:val="76B8706D"/>
    <w:rsid w:val="76D41BC5"/>
    <w:rsid w:val="76E131F8"/>
    <w:rsid w:val="7757037E"/>
    <w:rsid w:val="775D7A36"/>
    <w:rsid w:val="77AF1EE3"/>
    <w:rsid w:val="785030F6"/>
    <w:rsid w:val="789527BF"/>
    <w:rsid w:val="78A148CA"/>
    <w:rsid w:val="78B47FFD"/>
    <w:rsid w:val="79144124"/>
    <w:rsid w:val="792D41F1"/>
    <w:rsid w:val="79D5009E"/>
    <w:rsid w:val="7A0759A7"/>
    <w:rsid w:val="7A2B5BC9"/>
    <w:rsid w:val="7A8F0792"/>
    <w:rsid w:val="7AC90772"/>
    <w:rsid w:val="7B7E04DE"/>
    <w:rsid w:val="7C3A20F4"/>
    <w:rsid w:val="7C6453C2"/>
    <w:rsid w:val="7C86358B"/>
    <w:rsid w:val="7CD51E1C"/>
    <w:rsid w:val="7D8255AF"/>
    <w:rsid w:val="7D985805"/>
    <w:rsid w:val="7DE335E9"/>
    <w:rsid w:val="7E3D1208"/>
    <w:rsid w:val="7E4F7357"/>
    <w:rsid w:val="7EE747B5"/>
    <w:rsid w:val="7F4514DB"/>
    <w:rsid w:val="7F5756B2"/>
    <w:rsid w:val="7F605F95"/>
    <w:rsid w:val="7FA53B7B"/>
    <w:rsid w:val="7FF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4">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5">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7">
    <w:name w:val="toc 7"/>
    <w:basedOn w:val="1"/>
    <w:next w:val="1"/>
    <w:autoRedefine/>
    <w:unhideWhenUsed/>
    <w:qFormat/>
    <w:uiPriority w:val="39"/>
    <w:pPr>
      <w:ind w:left="2520" w:leftChars="1200"/>
    </w:pPr>
  </w:style>
  <w:style w:type="paragraph" w:styleId="8">
    <w:name w:val="annotation text"/>
    <w:basedOn w:val="1"/>
    <w:link w:val="44"/>
    <w:autoRedefine/>
    <w:semiHidden/>
    <w:unhideWhenUsed/>
    <w:qFormat/>
    <w:uiPriority w:val="99"/>
    <w:pPr>
      <w:jc w:val="left"/>
    </w:pPr>
  </w:style>
  <w:style w:type="paragraph" w:styleId="9">
    <w:name w:val="Body Text 3"/>
    <w:basedOn w:val="1"/>
    <w:link w:val="45"/>
    <w:autoRedefine/>
    <w:qFormat/>
    <w:uiPriority w:val="0"/>
    <w:rPr>
      <w:rFonts w:ascii="宋体"/>
      <w:sz w:val="24"/>
      <w:szCs w:val="20"/>
    </w:rPr>
  </w:style>
  <w:style w:type="paragraph" w:styleId="10">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7"/>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toc 8"/>
    <w:basedOn w:val="1"/>
    <w:next w:val="1"/>
    <w:autoRedefine/>
    <w:unhideWhenUsed/>
    <w:qFormat/>
    <w:uiPriority w:val="39"/>
    <w:pPr>
      <w:ind w:left="2940" w:leftChars="1400"/>
    </w:p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9"/>
    <w:autoRedefine/>
    <w:unhideWhenUsed/>
    <w:qFormat/>
    <w:uiPriority w:val="99"/>
    <w:pPr>
      <w:tabs>
        <w:tab w:val="center" w:pos="4153"/>
        <w:tab w:val="right" w:pos="8306"/>
      </w:tabs>
      <w:snapToGrid w:val="0"/>
      <w:jc w:val="left"/>
    </w:pPr>
    <w:rPr>
      <w:sz w:val="18"/>
      <w:szCs w:val="18"/>
    </w:rPr>
  </w:style>
  <w:style w:type="paragraph" w:styleId="18">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sz w:val="28"/>
    </w:rPr>
  </w:style>
  <w:style w:type="paragraph" w:styleId="20">
    <w:name w:val="toc 4"/>
    <w:basedOn w:val="1"/>
    <w:next w:val="1"/>
    <w:autoRedefine/>
    <w:unhideWhenUsed/>
    <w:qFormat/>
    <w:uiPriority w:val="39"/>
    <w:pPr>
      <w:ind w:left="1260" w:leftChars="600"/>
    </w:pPr>
  </w:style>
  <w:style w:type="paragraph" w:styleId="21">
    <w:name w:val="toc 6"/>
    <w:basedOn w:val="1"/>
    <w:next w:val="1"/>
    <w:autoRedefine/>
    <w:unhideWhenUsed/>
    <w:qFormat/>
    <w:uiPriority w:val="39"/>
    <w:pPr>
      <w:ind w:left="2100" w:leftChars="1000"/>
    </w:p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style>
  <w:style w:type="paragraph" w:styleId="24">
    <w:name w:val="Normal (Web)"/>
    <w:basedOn w:val="1"/>
    <w:autoRedefine/>
    <w:semiHidden/>
    <w:unhideWhenUsed/>
    <w:qFormat/>
    <w:uiPriority w:val="99"/>
    <w:pPr>
      <w:jc w:val="left"/>
    </w:pPr>
    <w:rPr>
      <w:rFonts w:cs="Times New Roman"/>
      <w:kern w:val="0"/>
      <w:sz w:val="24"/>
    </w:rPr>
  </w:style>
  <w:style w:type="paragraph" w:styleId="25">
    <w:name w:val="Body Text First Indent 2"/>
    <w:basedOn w:val="11"/>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3"/>
    <w:qFormat/>
    <w:uiPriority w:val="9"/>
    <w:rPr>
      <w:rFonts w:ascii="Times New Roman" w:hAnsi="Times New Roman" w:eastAsia="黑体"/>
      <w:bCs/>
      <w:kern w:val="44"/>
      <w:sz w:val="36"/>
      <w:szCs w:val="44"/>
    </w:rPr>
  </w:style>
  <w:style w:type="character" w:customStyle="1" w:styleId="42">
    <w:name w:val="标题 2 Char"/>
    <w:basedOn w:val="28"/>
    <w:link w:val="4"/>
    <w:qFormat/>
    <w:uiPriority w:val="9"/>
    <w:rPr>
      <w:rFonts w:eastAsia="宋体" w:asciiTheme="majorHAnsi" w:hAnsiTheme="majorHAnsi" w:cstheme="majorBidi"/>
      <w:b/>
      <w:bCs/>
      <w:sz w:val="32"/>
      <w:szCs w:val="32"/>
    </w:rPr>
  </w:style>
  <w:style w:type="character" w:customStyle="1" w:styleId="43">
    <w:name w:val="标题 3 Char"/>
    <w:basedOn w:val="28"/>
    <w:link w:val="5"/>
    <w:qFormat/>
    <w:uiPriority w:val="9"/>
    <w:rPr>
      <w:rFonts w:ascii="Times New Roman" w:hAnsi="Times New Roman" w:eastAsia="宋体"/>
      <w:b/>
      <w:bCs/>
      <w:sz w:val="30"/>
      <w:szCs w:val="32"/>
    </w:rPr>
  </w:style>
  <w:style w:type="character" w:customStyle="1" w:styleId="44">
    <w:name w:val="批注文字 Char"/>
    <w:basedOn w:val="28"/>
    <w:link w:val="8"/>
    <w:semiHidden/>
    <w:qFormat/>
    <w:uiPriority w:val="99"/>
  </w:style>
  <w:style w:type="character" w:customStyle="1" w:styleId="45">
    <w:name w:val="正文文本 3 Char"/>
    <w:basedOn w:val="28"/>
    <w:link w:val="9"/>
    <w:qFormat/>
    <w:uiPriority w:val="0"/>
    <w:rPr>
      <w:rFonts w:ascii="宋体"/>
      <w:sz w:val="24"/>
      <w:szCs w:val="20"/>
    </w:rPr>
  </w:style>
  <w:style w:type="character" w:customStyle="1" w:styleId="46">
    <w:name w:val="正文文本 Char"/>
    <w:basedOn w:val="28"/>
    <w:link w:val="10"/>
    <w:qFormat/>
    <w:uiPriority w:val="0"/>
    <w:rPr>
      <w:rFonts w:ascii="@微软简标宋" w:hAnsi="@微软简标宋" w:eastAsia="@微软简标宋" w:cs="@微软简标宋"/>
      <w:szCs w:val="24"/>
      <w:lang w:val="zh-CN"/>
    </w:rPr>
  </w:style>
  <w:style w:type="character" w:customStyle="1" w:styleId="47">
    <w:name w:val="正文文本缩进 Char"/>
    <w:basedOn w:val="28"/>
    <w:link w:val="11"/>
    <w:qFormat/>
    <w:uiPriority w:val="0"/>
  </w:style>
  <w:style w:type="character" w:customStyle="1" w:styleId="48">
    <w:name w:val="批注框文本 Char"/>
    <w:basedOn w:val="28"/>
    <w:link w:val="16"/>
    <w:semiHidden/>
    <w:qFormat/>
    <w:uiPriority w:val="99"/>
    <w:rPr>
      <w:sz w:val="18"/>
      <w:szCs w:val="18"/>
    </w:rPr>
  </w:style>
  <w:style w:type="character" w:customStyle="1" w:styleId="49">
    <w:name w:val="页脚 Char"/>
    <w:basedOn w:val="28"/>
    <w:link w:val="17"/>
    <w:qFormat/>
    <w:uiPriority w:val="99"/>
    <w:rPr>
      <w:sz w:val="18"/>
      <w:szCs w:val="18"/>
    </w:rPr>
  </w:style>
  <w:style w:type="character" w:customStyle="1" w:styleId="50">
    <w:name w:val="页眉 Char"/>
    <w:basedOn w:val="28"/>
    <w:link w:val="18"/>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3"/>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11180</Words>
  <Characters>12139</Characters>
  <Lines>324</Lines>
  <Paragraphs>91</Paragraphs>
  <TotalTime>0</TotalTime>
  <ScaleCrop>false</ScaleCrop>
  <LinksUpToDate>false</LinksUpToDate>
  <CharactersWithSpaces>12323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2026-06-25T06:12:36Z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