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pStyle w:val="7"/>
        <w:bidi w:val="0"/>
        <w:rPr>
          <w:color w:val="auto"/>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原乳液车间尾气处理系统招标采购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eastAsia" w:eastAsiaTheme="minorEastAsia"/>
          <w:color w:val="auto"/>
          <w:sz w:val="32"/>
          <w:highlight w:val="yellow"/>
          <w:lang w:val="en-US" w:eastAsia="zh-CN"/>
        </w:rPr>
      </w:pPr>
      <w:r>
        <w:rPr>
          <w:rFonts w:hint="eastAsia"/>
          <w:color w:val="auto"/>
          <w:sz w:val="32"/>
        </w:rPr>
        <w:t>招标编号：</w:t>
      </w:r>
      <w:r>
        <w:rPr>
          <w:rFonts w:hint="eastAsia"/>
          <w:color w:val="auto"/>
          <w:sz w:val="32"/>
          <w:lang w:eastAsia="zh-CN"/>
        </w:rPr>
        <w:t>TRHG-2026-017</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color w:val="auto"/>
          <w:sz w:val="32"/>
        </w:rPr>
        <w:t>202</w:t>
      </w:r>
      <w:r>
        <w:rPr>
          <w:rFonts w:hint="eastAsia"/>
          <w:color w:val="auto"/>
          <w:sz w:val="32"/>
          <w:lang w:val="en-US" w:eastAsia="zh-CN"/>
        </w:rPr>
        <w:t>6</w:t>
      </w:r>
      <w:r>
        <w:rPr>
          <w:rFonts w:hint="eastAsia"/>
          <w:color w:val="auto"/>
          <w:sz w:val="32"/>
        </w:rPr>
        <w:t>年</w:t>
      </w:r>
      <w:r>
        <w:rPr>
          <w:rFonts w:hint="eastAsia"/>
          <w:color w:val="auto"/>
          <w:sz w:val="32"/>
          <w:lang w:eastAsia="zh-CN"/>
        </w:rPr>
        <w:t>0</w:t>
      </w:r>
      <w:r>
        <w:rPr>
          <w:rFonts w:hint="eastAsia"/>
          <w:color w:val="auto"/>
          <w:sz w:val="32"/>
          <w:lang w:val="en-US" w:eastAsia="zh-CN"/>
        </w:rPr>
        <w:t>8</w:t>
      </w:r>
      <w:r>
        <w:rPr>
          <w:rFonts w:hint="eastAsia"/>
          <w:color w:val="auto"/>
          <w:sz w:val="32"/>
          <w:lang w:eastAsia="zh-CN"/>
        </w:rPr>
        <w:t>月</w:t>
      </w:r>
      <w:r>
        <w:rPr>
          <w:rFonts w:hint="eastAsia"/>
          <w:color w:val="auto"/>
          <w:sz w:val="32"/>
          <w:lang w:val="en-US" w:eastAsia="zh-CN"/>
        </w:rPr>
        <w:t>26</w:t>
      </w:r>
      <w:r>
        <w:rPr>
          <w:rFonts w:hint="eastAsia"/>
          <w:color w:val="auto"/>
          <w:sz w:val="32"/>
          <w:lang w:eastAsia="zh-CN"/>
        </w:rPr>
        <w:t>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Borders>
            <w:top w:val="none" w:sz="0" w:space="0"/>
            <w:left w:val="none" w:sz="0" w:space="0"/>
            <w:bottom w:val="none" w:sz="0" w:space="0"/>
            <w:right w:val="none" w:sz="0" w:space="0"/>
          </w:pgBorders>
          <w:pgNumType w:start="0"/>
          <w:cols w:space="425" w:num="1"/>
          <w:docGrid w:type="lines" w:linePitch="312" w:charSpace="0"/>
        </w:sectPr>
      </w:pPr>
    </w:p>
    <w:p w14:paraId="544B2355">
      <w:pPr>
        <w:pStyle w:val="5"/>
        <w:jc w:val="both"/>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p>
    <w:p w14:paraId="7DD322E6">
      <w:pPr>
        <w:pStyle w:val="5"/>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5"/>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5"/>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5"/>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6"/>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6"/>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23"/>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23"/>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23"/>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23"/>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23"/>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23"/>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23"/>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5"/>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5"/>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5"/>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5"/>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6"/>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23"/>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23"/>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23"/>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23"/>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23"/>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23"/>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6"/>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23"/>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23"/>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23"/>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23"/>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23"/>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23"/>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23"/>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23"/>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5"/>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23"/>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23"/>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23"/>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23"/>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w:t>
      </w:r>
      <w:r>
        <w:rPr>
          <w:rFonts w:hint="eastAsia" w:ascii="黑体" w:hAnsi="宋体" w:eastAsia="黑体"/>
          <w:b/>
          <w:color w:val="auto"/>
          <w:lang w:val="en-US" w:eastAsia="zh-CN"/>
        </w:rPr>
        <w:t>二</w:t>
      </w:r>
      <w:r>
        <w:rPr>
          <w:rFonts w:hint="eastAsia" w:ascii="黑体" w:hAnsi="宋体" w:eastAsia="黑体"/>
          <w:b/>
          <w:color w:val="auto"/>
        </w:rPr>
        <w:t>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23"/>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Borders>
            <w:top w:val="none" w:sz="0" w:space="0"/>
            <w:left w:val="none" w:sz="0" w:space="0"/>
            <w:bottom w:val="none" w:sz="0" w:space="0"/>
            <w:right w:val="none" w:sz="0" w:space="0"/>
          </w:pgBorders>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5"/>
        <w:jc w:val="center"/>
        <w:rPr>
          <w:color w:val="auto"/>
        </w:rPr>
      </w:pPr>
      <w:bookmarkStart w:id="2" w:name="_Toc410205589"/>
      <w:bookmarkStart w:id="3" w:name="_Toc16423"/>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项目信息</w:t>
      </w:r>
    </w:p>
    <w:p w14:paraId="46174F7E">
      <w:pPr>
        <w:spacing w:line="360" w:lineRule="auto"/>
        <w:rPr>
          <w:rFonts w:hint="default" w:asciiTheme="minorEastAsia" w:hAnsiTheme="minorEastAsia" w:eastAsiaTheme="minorEastAsia"/>
          <w:bCs/>
          <w:color w:val="auto"/>
          <w:spacing w:val="20"/>
          <w:w w:val="50"/>
          <w:sz w:val="22"/>
          <w:lang w:val="en-US"/>
        </w:rPr>
      </w:pPr>
      <w:r>
        <w:rPr>
          <w:rFonts w:hint="eastAsia" w:cs="宋体" w:asciiTheme="minorEastAsia" w:hAnsiTheme="minorEastAsia" w:eastAsiaTheme="minorEastAsia"/>
          <w:color w:val="auto"/>
          <w:kern w:val="0"/>
          <w:sz w:val="22"/>
        </w:rPr>
        <w:t>项目名称：</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原乳液车间尾气处理系统招标采购</w:t>
      </w:r>
    </w:p>
    <w:p w14:paraId="09E0287F">
      <w:pPr>
        <w:autoSpaceDE w:val="0"/>
        <w:autoSpaceDN w:val="0"/>
        <w:adjustRightInd w:val="0"/>
        <w:spacing w:line="360" w:lineRule="auto"/>
        <w:rPr>
          <w:rFonts w:hint="eastAsia" w:asciiTheme="minorEastAsia" w:hAnsiTheme="minorEastAsia" w:eastAsiaTheme="minorEastAsia"/>
          <w:color w:val="auto"/>
          <w:szCs w:val="21"/>
          <w:lang w:val="en-US" w:eastAsia="zh-CN"/>
        </w:rPr>
      </w:pPr>
      <w:r>
        <w:rPr>
          <w:rFonts w:hint="eastAsia" w:cs="宋体" w:asciiTheme="minorEastAsia" w:hAnsiTheme="minorEastAsia" w:eastAsiaTheme="minorEastAsia"/>
          <w:color w:val="auto"/>
          <w:kern w:val="0"/>
          <w:sz w:val="22"/>
        </w:rPr>
        <w:t>招标编号：</w:t>
      </w:r>
      <w:r>
        <w:rPr>
          <w:rFonts w:hint="eastAsia" w:asciiTheme="minorEastAsia" w:hAnsiTheme="minorEastAsia"/>
          <w:color w:val="auto"/>
          <w:szCs w:val="21"/>
          <w:lang w:eastAsia="zh-CN"/>
        </w:rPr>
        <w:t>TRHG-2026-017</w:t>
      </w:r>
    </w:p>
    <w:p w14:paraId="5A15EE51">
      <w:pPr>
        <w:autoSpaceDE w:val="0"/>
        <w:autoSpaceDN w:val="0"/>
        <w:adjustRightInd w:val="0"/>
        <w:spacing w:line="360" w:lineRule="auto"/>
        <w:rPr>
          <w:rFonts w:hint="eastAsia" w:cs="宋体" w:asciiTheme="minorEastAsia" w:hAnsiTheme="minorEastAsia" w:eastAsiaTheme="minorEastAsia"/>
          <w:color w:val="auto"/>
          <w:kern w:val="0"/>
          <w:sz w:val="22"/>
          <w:lang w:eastAsia="zh-CN"/>
        </w:rPr>
      </w:pPr>
      <w:r>
        <w:rPr>
          <w:rFonts w:hint="eastAsia" w:cs="宋体" w:asciiTheme="minorEastAsia" w:hAnsiTheme="minorEastAsia" w:eastAsiaTheme="minorEastAsia"/>
          <w:color w:val="auto"/>
          <w:kern w:val="0"/>
          <w:sz w:val="22"/>
        </w:rPr>
        <w:t>发标日期：202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8</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 xml:space="preserve"> </w:t>
      </w:r>
      <w:r>
        <w:rPr>
          <w:rFonts w:hint="eastAsia" w:cs="宋体" w:asciiTheme="minorEastAsia" w:hAnsiTheme="minorEastAsia" w:eastAsiaTheme="minorEastAsia"/>
          <w:color w:val="auto"/>
          <w:kern w:val="0"/>
          <w:sz w:val="22"/>
          <w:lang w:eastAsia="zh-CN"/>
        </w:rPr>
        <w:t>日</w:t>
      </w:r>
    </w:p>
    <w:p w14:paraId="16648CD1">
      <w:pPr>
        <w:spacing w:line="360" w:lineRule="auto"/>
        <w:rPr>
          <w:rFonts w:hint="eastAsia" w:hAnsi="宋体"/>
          <w:bCs/>
          <w:color w:val="auto"/>
          <w:spacing w:val="20"/>
          <w:w w:val="50"/>
          <w:sz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rPr>
        <w:t>（以下简称“招标人”）将进行</w:t>
      </w:r>
      <w:r>
        <w:rPr>
          <w:rFonts w:hint="eastAsia" w:asciiTheme="minorEastAsia" w:hAnsiTheme="minorEastAsia"/>
          <w:bCs/>
          <w:color w:val="auto"/>
          <w:spacing w:val="5"/>
          <w:sz w:val="24"/>
          <w:szCs w:val="24"/>
          <w:lang w:val="en-US" w:eastAsia="zh-CN"/>
        </w:rPr>
        <w:t>原乳液车间尾气处理系统</w:t>
      </w:r>
      <w:r>
        <w:rPr>
          <w:rFonts w:hint="eastAsia" w:ascii="Arial" w:hAnsi="宋体" w:cs="宋体"/>
          <w:color w:val="auto"/>
          <w:kern w:val="0"/>
          <w:sz w:val="24"/>
        </w:rPr>
        <w:t>采购的招标工作，请投标人对下列货物和服务提交密封投标：</w:t>
      </w:r>
    </w:p>
    <w:p w14:paraId="2110210A">
      <w:pPr>
        <w:autoSpaceDE w:val="0"/>
        <w:autoSpaceDN w:val="0"/>
        <w:adjustRightInd w:val="0"/>
        <w:spacing w:line="360" w:lineRule="auto"/>
        <w:rPr>
          <w:rFonts w:hint="eastAsia" w:asciiTheme="minorEastAsia" w:hAnsiTheme="minorEastAsia" w:eastAsiaTheme="minorEastAsia"/>
          <w:color w:val="auto"/>
          <w:szCs w:val="21"/>
          <w:lang w:val="en-US" w:eastAsia="zh-CN"/>
        </w:rPr>
      </w:pPr>
      <w:r>
        <w:rPr>
          <w:rFonts w:hint="eastAsia" w:ascii="Arial" w:hAnsi="宋体" w:cs="宋体"/>
          <w:color w:val="auto"/>
          <w:kern w:val="0"/>
          <w:sz w:val="24"/>
        </w:rPr>
        <w:t>招标编号：</w:t>
      </w:r>
      <w:r>
        <w:rPr>
          <w:rFonts w:hint="eastAsia" w:asciiTheme="minorEastAsia" w:hAnsiTheme="minorEastAsia"/>
          <w:color w:val="auto"/>
          <w:szCs w:val="21"/>
          <w:lang w:eastAsia="zh-CN"/>
        </w:rPr>
        <w:t>TRHG-2026-017</w:t>
      </w:r>
    </w:p>
    <w:p w14:paraId="7F30DFF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招标设备数量与明细</w:t>
      </w:r>
    </w:p>
    <w:tbl>
      <w:tblPr>
        <w:tblStyle w:val="28"/>
        <w:tblW w:w="9323" w:type="dxa"/>
        <w:jc w:val="center"/>
        <w:tblLayout w:type="fixed"/>
        <w:tblCellMar>
          <w:top w:w="0" w:type="dxa"/>
          <w:left w:w="54" w:type="dxa"/>
          <w:bottom w:w="0" w:type="dxa"/>
          <w:right w:w="54" w:type="dxa"/>
        </w:tblCellMar>
      </w:tblPr>
      <w:tblGrid>
        <w:gridCol w:w="477"/>
        <w:gridCol w:w="611"/>
        <w:gridCol w:w="992"/>
        <w:gridCol w:w="629"/>
        <w:gridCol w:w="3775"/>
        <w:gridCol w:w="1463"/>
        <w:gridCol w:w="1376"/>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4"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611" w:type="dxa"/>
            <w:tcBorders>
              <w:top w:val="single" w:color="auto" w:sz="6" w:space="0"/>
              <w:left w:val="single" w:color="auto" w:sz="6" w:space="0"/>
              <w:bottom w:val="single" w:color="auto" w:sz="4" w:space="0"/>
              <w:right w:val="single" w:color="auto" w:sz="6" w:space="0"/>
            </w:tcBorders>
            <w:vAlign w:val="center"/>
          </w:tcPr>
          <w:p w14:paraId="31A0F4C3">
            <w:pPr>
              <w:autoSpaceDE w:val="0"/>
              <w:autoSpaceDN w:val="0"/>
              <w:adjustRightInd w:val="0"/>
              <w:jc w:val="center"/>
              <w:rPr>
                <w:rFonts w:hint="default" w:ascii="宋体" w:hAnsi="宋体" w:cs="宋体" w:eastAsiaTheme="minorEastAsia"/>
                <w:color w:val="auto"/>
                <w:kern w:val="0"/>
                <w:szCs w:val="21"/>
                <w:lang w:val="en-US" w:eastAsia="zh-CN"/>
              </w:rPr>
            </w:pPr>
            <w:r>
              <w:rPr>
                <w:rFonts w:hint="eastAsia" w:ascii="宋体" w:hAnsi="宋体" w:cs="宋体"/>
                <w:color w:val="auto"/>
                <w:kern w:val="0"/>
                <w:szCs w:val="21"/>
                <w:lang w:val="en-US" w:eastAsia="zh-CN"/>
              </w:rPr>
              <w:t>单体名称</w:t>
            </w:r>
          </w:p>
        </w:tc>
        <w:tc>
          <w:tcPr>
            <w:tcW w:w="992" w:type="dxa"/>
            <w:tcBorders>
              <w:top w:val="single" w:color="auto" w:sz="6" w:space="0"/>
              <w:left w:val="single" w:color="auto" w:sz="6" w:space="0"/>
              <w:bottom w:val="single" w:color="auto" w:sz="4" w:space="0"/>
              <w:right w:val="single" w:color="auto" w:sz="6" w:space="0"/>
            </w:tcBorders>
            <w:vAlign w:val="center"/>
          </w:tcPr>
          <w:p w14:paraId="1E358976">
            <w:pPr>
              <w:autoSpaceDE w:val="0"/>
              <w:autoSpaceDN w:val="0"/>
              <w:adjustRightInd w:val="0"/>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设备名称</w:t>
            </w:r>
          </w:p>
        </w:tc>
        <w:tc>
          <w:tcPr>
            <w:tcW w:w="629" w:type="dxa"/>
            <w:tcBorders>
              <w:top w:val="single" w:color="auto" w:sz="6" w:space="0"/>
              <w:left w:val="single" w:color="auto" w:sz="6" w:space="0"/>
              <w:bottom w:val="single" w:color="auto" w:sz="4"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3775" w:type="dxa"/>
            <w:tcBorders>
              <w:top w:val="single" w:color="auto" w:sz="6" w:space="0"/>
              <w:left w:val="single" w:color="auto" w:sz="6" w:space="0"/>
              <w:bottom w:val="single" w:color="auto" w:sz="4"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1463" w:type="dxa"/>
            <w:tcBorders>
              <w:top w:val="single" w:color="auto" w:sz="6" w:space="0"/>
              <w:left w:val="single" w:color="auto" w:sz="6" w:space="0"/>
              <w:bottom w:val="single" w:color="auto" w:sz="4"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376" w:type="dxa"/>
            <w:tcBorders>
              <w:top w:val="single" w:color="auto" w:sz="6" w:space="0"/>
              <w:left w:val="single" w:color="auto" w:sz="6" w:space="0"/>
              <w:bottom w:val="single" w:color="auto" w:sz="4"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4" w:space="0"/>
              <w:left w:val="single" w:color="auto" w:sz="4" w:space="0"/>
              <w:bottom w:val="single" w:color="auto" w:sz="4" w:space="0"/>
              <w:right w:val="single" w:color="auto" w:sz="6" w:space="0"/>
            </w:tcBorders>
            <w:shd w:val="clear" w:color="auto" w:fill="auto"/>
            <w:vAlign w:val="center"/>
          </w:tcPr>
          <w:p w14:paraId="3507104A">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1</w:t>
            </w:r>
          </w:p>
        </w:tc>
        <w:tc>
          <w:tcPr>
            <w:tcW w:w="611" w:type="dxa"/>
            <w:tcBorders>
              <w:top w:val="single" w:color="auto" w:sz="4" w:space="0"/>
              <w:left w:val="single" w:color="auto" w:sz="6" w:space="0"/>
              <w:bottom w:val="single" w:color="auto" w:sz="4" w:space="0"/>
              <w:right w:val="single" w:color="auto" w:sz="6" w:space="0"/>
            </w:tcBorders>
            <w:shd w:val="clear" w:color="auto" w:fill="auto"/>
            <w:vAlign w:val="center"/>
          </w:tcPr>
          <w:p w14:paraId="4B0CBCE9">
            <w:pPr>
              <w:tabs>
                <w:tab w:val="left" w:pos="323"/>
              </w:tabs>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原乳液车间</w:t>
            </w:r>
          </w:p>
        </w:tc>
        <w:tc>
          <w:tcPr>
            <w:tcW w:w="992" w:type="dxa"/>
            <w:tcBorders>
              <w:top w:val="single" w:color="auto" w:sz="4" w:space="0"/>
              <w:left w:val="single" w:color="auto" w:sz="6" w:space="0"/>
              <w:bottom w:val="single" w:color="auto" w:sz="4" w:space="0"/>
              <w:right w:val="single" w:color="auto" w:sz="6" w:space="0"/>
            </w:tcBorders>
            <w:shd w:val="clear" w:color="auto" w:fill="auto"/>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eastAsia="zh-CN"/>
              </w:rPr>
              <w:t>原乳液车间尾气处理系统</w:t>
            </w:r>
          </w:p>
        </w:tc>
        <w:tc>
          <w:tcPr>
            <w:tcW w:w="629" w:type="dxa"/>
            <w:tcBorders>
              <w:top w:val="single" w:color="auto" w:sz="4" w:space="0"/>
              <w:left w:val="single" w:color="auto" w:sz="6" w:space="0"/>
              <w:bottom w:val="single" w:color="auto" w:sz="4" w:space="0"/>
              <w:right w:val="single" w:color="auto" w:sz="6" w:space="0"/>
            </w:tcBorders>
            <w:shd w:val="clear" w:color="auto" w:fill="auto"/>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1</w:t>
            </w:r>
          </w:p>
        </w:tc>
        <w:tc>
          <w:tcPr>
            <w:tcW w:w="3775" w:type="dxa"/>
            <w:tcBorders>
              <w:top w:val="single" w:color="auto" w:sz="4" w:space="0"/>
              <w:left w:val="single" w:color="auto" w:sz="6" w:space="0"/>
              <w:bottom w:val="single" w:color="auto" w:sz="4" w:space="0"/>
              <w:right w:val="single" w:color="auto" w:sz="6" w:space="0"/>
            </w:tcBorders>
            <w:shd w:val="clear" w:color="auto" w:fill="auto"/>
            <w:vAlign w:val="center"/>
          </w:tcPr>
          <w:p w14:paraId="0EB1AC3E">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尾气处理工艺：二级水吸收+干燥+二级活性炭吸附</w:t>
            </w:r>
          </w:p>
          <w:p w14:paraId="749B932B">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处理风量：5400m3/h</w:t>
            </w:r>
          </w:p>
          <w:p w14:paraId="31AEFCF6">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排气筒高度：30m；烟囱内径不小于0.4m</w:t>
            </w:r>
          </w:p>
          <w:p w14:paraId="7BCC7B42">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尾气组份：丙烯酰胺：1.63t/a;丙烯酸：0.82t/a;</w:t>
            </w:r>
          </w:p>
          <w:p w14:paraId="46D013E8">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电源：AC380/220V/50HZ</w:t>
            </w:r>
          </w:p>
          <w:p w14:paraId="14C3F118">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电机均采用二级能效及以上</w:t>
            </w:r>
          </w:p>
          <w:p w14:paraId="1658C029">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防爆等级：ExdⅡBT4 GB 防护等级：IP65</w:t>
            </w:r>
          </w:p>
          <w:p w14:paraId="18DDAE5F">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烟囱配取样口及取样爬梯、平台</w:t>
            </w:r>
          </w:p>
          <w:p w14:paraId="351D148D">
            <w:pP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爬梯及平台制作标准：GB 4053-2025</w:t>
            </w:r>
          </w:p>
          <w:p w14:paraId="7E9D0EBB">
            <w:pPr>
              <w:rPr>
                <w:rFonts w:hint="default"/>
                <w:color w:val="auto"/>
                <w:lang w:val="en-US" w:eastAsia="zh-CN"/>
              </w:rPr>
            </w:pPr>
            <w:r>
              <w:rPr>
                <w:rFonts w:hint="eastAsia" w:ascii="仿宋" w:hAnsi="仿宋" w:eastAsia="仿宋" w:cs="宋体"/>
                <w:color w:val="auto"/>
                <w:kern w:val="0"/>
                <w:sz w:val="20"/>
                <w:szCs w:val="20"/>
                <w:lang w:val="en-US" w:eastAsia="zh-CN"/>
              </w:rPr>
              <w:t>安装位置：户外（电动机、配电柜等应选用户外型）</w:t>
            </w:r>
          </w:p>
        </w:tc>
        <w:tc>
          <w:tcPr>
            <w:tcW w:w="1463" w:type="dxa"/>
            <w:tcBorders>
              <w:top w:val="single" w:color="auto" w:sz="4" w:space="0"/>
              <w:left w:val="single" w:color="auto" w:sz="6" w:space="0"/>
              <w:bottom w:val="single" w:color="auto" w:sz="4" w:space="0"/>
              <w:right w:val="single" w:color="auto" w:sz="6" w:space="0"/>
            </w:tcBorders>
            <w:shd w:val="clear" w:color="auto" w:fill="auto"/>
            <w:vAlign w:val="center"/>
          </w:tcPr>
          <w:p w14:paraId="6F2459D0">
            <w:pPr>
              <w:autoSpaceDE w:val="0"/>
              <w:autoSpaceDN w:val="0"/>
              <w:adjustRightInd w:val="0"/>
              <w:jc w:val="left"/>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供货范围：</w:t>
            </w:r>
            <w:r>
              <w:rPr>
                <w:rFonts w:hint="eastAsia" w:ascii="仿宋" w:hAnsi="仿宋" w:eastAsia="仿宋" w:cs="宋体"/>
                <w:color w:val="auto"/>
                <w:kern w:val="0"/>
                <w:sz w:val="20"/>
                <w:szCs w:val="20"/>
                <w:lang w:eastAsia="zh-CN"/>
              </w:rPr>
              <w:t>原乳液车间尾气处理系统</w:t>
            </w:r>
            <w:r>
              <w:rPr>
                <w:rFonts w:hint="eastAsia" w:ascii="仿宋" w:hAnsi="仿宋" w:eastAsia="仿宋" w:cs="宋体"/>
                <w:color w:val="auto"/>
                <w:kern w:val="0"/>
                <w:sz w:val="20"/>
                <w:szCs w:val="20"/>
              </w:rPr>
              <w:t>成套装置，含控制系统，通讯协议：Profinet。</w:t>
            </w:r>
          </w:p>
          <w:p w14:paraId="7A196A72">
            <w:pPr>
              <w:autoSpaceDE w:val="0"/>
              <w:autoSpaceDN w:val="0"/>
              <w:adjustRightInd w:val="0"/>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整套系统的供货</w:t>
            </w:r>
            <w:r>
              <w:rPr>
                <w:rFonts w:hint="eastAsia" w:ascii="仿宋" w:eastAsia="仿宋"/>
                <w:color w:val="auto"/>
                <w:kern w:val="0"/>
                <w:sz w:val="20"/>
              </w:rPr>
              <w:t>+</w:t>
            </w:r>
            <w:r>
              <w:rPr>
                <w:rFonts w:hint="eastAsia" w:ascii="仿宋" w:hAnsi="仿宋" w:eastAsia="仿宋" w:cs="宋体"/>
                <w:color w:val="auto"/>
                <w:kern w:val="0"/>
                <w:sz w:val="20"/>
                <w:szCs w:val="20"/>
              </w:rPr>
              <w:t>指导安装+调试。</w:t>
            </w:r>
          </w:p>
        </w:tc>
        <w:tc>
          <w:tcPr>
            <w:tcW w:w="1376" w:type="dxa"/>
            <w:tcBorders>
              <w:top w:val="single" w:color="auto" w:sz="4" w:space="0"/>
              <w:left w:val="single" w:color="auto" w:sz="6" w:space="0"/>
              <w:bottom w:val="single" w:color="auto" w:sz="4" w:space="0"/>
              <w:right w:val="single" w:color="auto" w:sz="6" w:space="0"/>
            </w:tcBorders>
            <w:shd w:val="clear" w:color="auto" w:fill="auto"/>
            <w:vAlign w:val="center"/>
          </w:tcPr>
          <w:p w14:paraId="1105B4E4">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成套采购（技术要求详见第三部分技术规格、参数及其</w:t>
            </w:r>
          </w:p>
          <w:p w14:paraId="3580F529">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它要求）</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60</w:t>
      </w:r>
      <w:r>
        <w:rPr>
          <w:rFonts w:hint="eastAsia" w:ascii="Arial" w:hAnsi="宋体" w:cs="宋体"/>
          <w:color w:val="auto"/>
          <w:kern w:val="0"/>
          <w:sz w:val="24"/>
        </w:rPr>
        <w:t>自然日内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numPr>
          <w:ilvl w:val="0"/>
          <w:numId w:val="2"/>
        </w:numPr>
        <w:spacing w:line="360" w:lineRule="auto"/>
        <w:ind w:firstLine="480" w:firstLineChars="200"/>
        <w:rPr>
          <w:rFonts w:hint="eastAsia" w:ascii="Arial" w:hAnsi="宋体" w:cs="宋体"/>
          <w:color w:val="auto"/>
          <w:kern w:val="0"/>
          <w:sz w:val="24"/>
          <w:szCs w:val="24"/>
        </w:rPr>
      </w:pP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4F10722">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本项目采用资格后审，中标后不得转包或分包；</w:t>
      </w:r>
    </w:p>
    <w:p w14:paraId="76D4A82F">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lang w:val="zh-CN"/>
        </w:rPr>
        <w:t>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282A822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val="en-US" w:eastAsia="zh-CN"/>
        </w:rPr>
        <w:t>8</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26</w:t>
      </w:r>
      <w:r>
        <w:rPr>
          <w:rFonts w:hint="eastAsia" w:ascii="Arial" w:hAnsi="宋体" w:cs="宋体"/>
          <w:color w:val="auto"/>
          <w:kern w:val="0"/>
          <w:sz w:val="24"/>
          <w:lang w:eastAsia="zh-CN"/>
        </w:rPr>
        <w:t>日</w:t>
      </w:r>
      <w:r>
        <w:rPr>
          <w:rFonts w:hint="eastAsia" w:ascii="Arial" w:hAnsi="宋体" w:cs="宋体"/>
          <w:color w:val="auto"/>
          <w:kern w:val="0"/>
          <w:sz w:val="24"/>
        </w:rPr>
        <w:t>（电子版发放）</w:t>
      </w:r>
    </w:p>
    <w:p w14:paraId="0FAF7BE9">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获取方式：www.tianrun.com.cn</w:t>
      </w:r>
    </w:p>
    <w:p w14:paraId="4635B77D">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招标人联系方式：高</w:t>
      </w:r>
      <w:r>
        <w:rPr>
          <w:rFonts w:hint="eastAsia" w:ascii="Arial" w:hAnsi="Arial" w:cs="Arial"/>
          <w:color w:val="auto"/>
          <w:sz w:val="24"/>
          <w:szCs w:val="24"/>
          <w:lang w:val="en-US" w:eastAsia="zh-CN"/>
        </w:rPr>
        <w:t>经理</w:t>
      </w:r>
      <w:r>
        <w:rPr>
          <w:rFonts w:hint="eastAsia" w:ascii="Arial" w:hAnsi="Arial" w:cs="Arial"/>
          <w:color w:val="auto"/>
          <w:sz w:val="24"/>
          <w:szCs w:val="24"/>
        </w:rPr>
        <w:t xml:space="preserve"> 16655278550</w:t>
      </w:r>
    </w:p>
    <w:p w14:paraId="01D03B0F">
      <w:pPr>
        <w:autoSpaceDE w:val="0"/>
        <w:autoSpaceDN w:val="0"/>
        <w:adjustRightInd w:val="0"/>
        <w:spacing w:line="360" w:lineRule="auto"/>
        <w:rPr>
          <w:rFonts w:hint="eastAsia" w:ascii="Arial" w:hAnsi="Arial" w:cs="Arial"/>
          <w:color w:val="auto"/>
          <w:sz w:val="24"/>
          <w:szCs w:val="24"/>
          <w:lang w:eastAsia="zh-CN"/>
        </w:rPr>
      </w:pPr>
      <w:r>
        <w:rPr>
          <w:rFonts w:hint="eastAsia" w:ascii="Arial" w:hAnsi="Arial" w:cs="Arial"/>
          <w:color w:val="auto"/>
          <w:sz w:val="24"/>
          <w:szCs w:val="24"/>
        </w:rPr>
        <w:t>邮寄联系方式：</w:t>
      </w:r>
      <w:r>
        <w:rPr>
          <w:rFonts w:hint="eastAsia" w:ascii="Arial" w:hAnsi="Arial" w:cs="Arial"/>
          <w:color w:val="auto"/>
          <w:sz w:val="24"/>
          <w:szCs w:val="24"/>
          <w:lang w:eastAsia="zh-CN"/>
        </w:rPr>
        <w:t>胥</w:t>
      </w:r>
      <w:r>
        <w:rPr>
          <w:rFonts w:hint="eastAsia" w:ascii="Arial" w:hAnsi="Arial" w:cs="Arial"/>
          <w:color w:val="auto"/>
          <w:sz w:val="24"/>
          <w:szCs w:val="24"/>
          <w:lang w:val="en-US" w:eastAsia="zh-CN"/>
        </w:rPr>
        <w:t>经理</w:t>
      </w:r>
      <w:r>
        <w:rPr>
          <w:rFonts w:hint="eastAsia" w:ascii="Arial" w:hAnsi="Arial" w:cs="Arial"/>
          <w:color w:val="auto"/>
          <w:sz w:val="24"/>
          <w:szCs w:val="24"/>
          <w:lang w:eastAsia="zh-CN"/>
        </w:rPr>
        <w:t xml:space="preserve"> 18855067016</w:t>
      </w:r>
    </w:p>
    <w:p w14:paraId="2C7671F6">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单位： 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投标文件递交截止时间和地点：202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9</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07</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lang w:val="en-US" w:eastAsia="zh-CN"/>
        </w:rPr>
        <w:t>10</w:t>
      </w:r>
      <w:r>
        <w:rPr>
          <w:rFonts w:hint="eastAsia" w:cs="宋体" w:asciiTheme="minorEastAsia" w:hAnsiTheme="minorEastAsia" w:eastAsiaTheme="minorEastAsia"/>
          <w:color w:val="auto"/>
          <w:kern w:val="0"/>
          <w:sz w:val="22"/>
        </w:rPr>
        <w:t>时00分（北京时间）前递交至</w:t>
      </w:r>
      <w:r>
        <w:rPr>
          <w:rFonts w:cs="宋体" w:asciiTheme="minorEastAsia" w:hAnsiTheme="minorEastAsia" w:eastAsiaTheme="minorEastAsia"/>
          <w:color w:val="auto"/>
          <w:kern w:val="0"/>
          <w:sz w:val="22"/>
        </w:rPr>
        <w:t>安徽省蚌埠市淮上区沫河口</w:t>
      </w:r>
      <w:r>
        <w:rPr>
          <w:rFonts w:hint="eastAsia" w:cs="宋体" w:asciiTheme="minorEastAsia" w:hAnsiTheme="minorEastAsia" w:eastAsiaTheme="minorEastAsia"/>
          <w:color w:val="auto"/>
          <w:kern w:val="0"/>
          <w:sz w:val="22"/>
        </w:rPr>
        <w:t>工业园区</w:t>
      </w:r>
      <w:r>
        <w:rPr>
          <w:rFonts w:cs="宋体" w:asciiTheme="minorEastAsia" w:hAnsiTheme="minorEastAsia" w:eastAsiaTheme="minorEastAsia"/>
          <w:color w:val="auto"/>
          <w:kern w:val="0"/>
          <w:sz w:val="22"/>
        </w:rPr>
        <w:t>银湖路271号</w:t>
      </w:r>
      <w:r>
        <w:rPr>
          <w:rFonts w:hint="eastAsia" w:cs="宋体" w:asciiTheme="minorEastAsia" w:hAnsiTheme="minorEastAsia" w:eastAsiaTheme="minorEastAsia"/>
          <w:color w:val="auto"/>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开标时间:202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9</w:t>
      </w:r>
      <w:r>
        <w:rPr>
          <w:rFonts w:hint="eastAsia" w:cs="宋体" w:asciiTheme="minorEastAsia" w:hAnsiTheme="minorEastAsia" w:eastAsiaTheme="minorEastAsia"/>
          <w:color w:val="auto"/>
          <w:kern w:val="0"/>
          <w:sz w:val="22"/>
          <w:lang w:eastAsia="zh-CN"/>
        </w:rPr>
        <w:t>月</w:t>
      </w:r>
      <w:bookmarkStart w:id="124" w:name="_GoBack"/>
      <w:bookmarkEnd w:id="124"/>
      <w:r>
        <w:rPr>
          <w:rFonts w:hint="eastAsia" w:cs="宋体" w:asciiTheme="minorEastAsia" w:hAnsiTheme="minorEastAsia"/>
          <w:color w:val="auto"/>
          <w:kern w:val="0"/>
          <w:sz w:val="22"/>
          <w:lang w:val="en-US" w:eastAsia="zh-CN"/>
        </w:rPr>
        <w:t>07</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rPr>
        <w:t>10时00分。</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17892A88">
      <w:pPr>
        <w:adjustRightInd w:val="0"/>
        <w:snapToGrid w:val="0"/>
        <w:spacing w:line="360" w:lineRule="auto"/>
        <w:ind w:right="24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76575152">
      <w:pPr>
        <w:adjustRightInd w:val="0"/>
        <w:snapToGrid w:val="0"/>
        <w:spacing w:line="360" w:lineRule="auto"/>
        <w:ind w:left="-210" w:leftChars="-100" w:right="240" w:firstLine="480" w:firstLineChars="200"/>
        <w:jc w:val="right"/>
        <w:rPr>
          <w:rFonts w:ascii="宋体"/>
          <w:snapToGrid w:val="0"/>
          <w:color w:val="auto"/>
          <w:kern w:val="0"/>
          <w:sz w:val="24"/>
        </w:rPr>
      </w:pPr>
      <w:r>
        <w:rPr>
          <w:rFonts w:hint="eastAsia" w:ascii="Arial" w:hAnsi="宋体" w:cs="宋体"/>
          <w:color w:val="auto"/>
          <w:kern w:val="0"/>
          <w:sz w:val="24"/>
        </w:rPr>
        <w:t>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val="en-US" w:eastAsia="zh-CN"/>
        </w:rPr>
        <w:t>8</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26</w:t>
      </w:r>
      <w:r>
        <w:rPr>
          <w:rFonts w:hint="eastAsia" w:ascii="Arial" w:hAnsi="宋体" w:cs="宋体"/>
          <w:color w:val="auto"/>
          <w:kern w:val="0"/>
          <w:sz w:val="24"/>
          <w:lang w:eastAsia="zh-CN"/>
        </w:rPr>
        <w:t>日</w:t>
      </w:r>
    </w:p>
    <w:p w14:paraId="0ED79E45">
      <w:pPr>
        <w:pStyle w:val="5"/>
        <w:pageBreakBefore/>
        <w:jc w:val="center"/>
        <w:rPr>
          <w:color w:val="auto"/>
        </w:rPr>
      </w:pPr>
      <w:bookmarkStart w:id="5" w:name="_Toc409991252"/>
      <w:bookmarkStart w:id="6" w:name="_Toc409991168"/>
      <w:bookmarkStart w:id="7" w:name="_Toc20120"/>
      <w:r>
        <w:rPr>
          <w:rFonts w:hint="eastAsia"/>
          <w:color w:val="auto"/>
        </w:rPr>
        <w:t>第二部分投标人须知前附表及投标人须知</w:t>
      </w:r>
      <w:bookmarkEnd w:id="5"/>
      <w:bookmarkEnd w:id="6"/>
      <w:bookmarkEnd w:id="7"/>
      <w:bookmarkStart w:id="8" w:name="_Toc409991253"/>
      <w:bookmarkStart w:id="9" w:name="_Toc409991169"/>
    </w:p>
    <w:p w14:paraId="00DF6AB4">
      <w:pPr>
        <w:pStyle w:val="6"/>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8"/>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9"/>
              <w:rPr>
                <w:rFonts w:hint="eastAsia"/>
                <w:color w:val="auto"/>
                <w:lang w:val="zh-CN"/>
              </w:rPr>
            </w:pPr>
            <w:r>
              <w:rPr>
                <w:color w:val="auto"/>
                <w:lang w:val="zh-CN"/>
              </w:rPr>
              <w:t>1.1</w:t>
            </w:r>
          </w:p>
        </w:tc>
        <w:tc>
          <w:tcPr>
            <w:tcW w:w="1416" w:type="dxa"/>
            <w:vAlign w:val="center"/>
          </w:tcPr>
          <w:p w14:paraId="18C25820">
            <w:pPr>
              <w:pStyle w:val="59"/>
              <w:rPr>
                <w:rFonts w:hint="eastAsia"/>
                <w:color w:val="auto"/>
                <w:lang w:val="zh-CN"/>
              </w:rPr>
            </w:pPr>
            <w:r>
              <w:rPr>
                <w:rFonts w:hint="eastAsia"/>
                <w:color w:val="auto"/>
                <w:lang w:val="zh-CN"/>
              </w:rPr>
              <w:t>招标人</w:t>
            </w:r>
          </w:p>
        </w:tc>
        <w:tc>
          <w:tcPr>
            <w:tcW w:w="6472" w:type="dxa"/>
            <w:vAlign w:val="center"/>
          </w:tcPr>
          <w:p w14:paraId="72BB8BDA">
            <w:pPr>
              <w:pStyle w:val="59"/>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9"/>
              <w:rPr>
                <w:rFonts w:hint="eastAsia"/>
                <w:color w:val="auto"/>
                <w:lang w:val="zh-CN"/>
              </w:rPr>
            </w:pPr>
            <w:r>
              <w:rPr>
                <w:color w:val="auto"/>
                <w:lang w:val="zh-CN"/>
              </w:rPr>
              <w:t>1.2</w:t>
            </w:r>
          </w:p>
        </w:tc>
        <w:tc>
          <w:tcPr>
            <w:tcW w:w="1416" w:type="dxa"/>
            <w:vAlign w:val="center"/>
          </w:tcPr>
          <w:p w14:paraId="7CE68724">
            <w:pPr>
              <w:pStyle w:val="59"/>
              <w:rPr>
                <w:rFonts w:hint="eastAsia"/>
                <w:color w:val="auto"/>
                <w:lang w:val="zh-CN"/>
              </w:rPr>
            </w:pPr>
            <w:r>
              <w:rPr>
                <w:rFonts w:hint="eastAsia"/>
                <w:color w:val="auto"/>
                <w:lang w:val="zh-CN"/>
              </w:rPr>
              <w:t>招标联系人</w:t>
            </w:r>
          </w:p>
        </w:tc>
        <w:tc>
          <w:tcPr>
            <w:tcW w:w="6472" w:type="dxa"/>
            <w:vAlign w:val="center"/>
          </w:tcPr>
          <w:p w14:paraId="32DB7408">
            <w:pPr>
              <w:pStyle w:val="27"/>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9"/>
              <w:rPr>
                <w:rFonts w:hint="eastAsia"/>
                <w:color w:val="auto"/>
                <w:lang w:val="zh-CN"/>
              </w:rPr>
            </w:pPr>
            <w:r>
              <w:rPr>
                <w:color w:val="auto"/>
                <w:lang w:val="zh-CN"/>
              </w:rPr>
              <w:t>1.3</w:t>
            </w:r>
          </w:p>
        </w:tc>
        <w:tc>
          <w:tcPr>
            <w:tcW w:w="1416" w:type="dxa"/>
            <w:vAlign w:val="center"/>
          </w:tcPr>
          <w:p w14:paraId="12DF5395">
            <w:pPr>
              <w:pStyle w:val="59"/>
              <w:rPr>
                <w:rFonts w:hint="eastAsia"/>
                <w:color w:val="auto"/>
                <w:lang w:val="zh-CN"/>
              </w:rPr>
            </w:pPr>
            <w:r>
              <w:rPr>
                <w:rFonts w:hint="eastAsia"/>
                <w:color w:val="auto"/>
                <w:lang w:val="zh-CN"/>
              </w:rPr>
              <w:t>项目名称</w:t>
            </w:r>
          </w:p>
        </w:tc>
        <w:tc>
          <w:tcPr>
            <w:tcW w:w="6472" w:type="dxa"/>
            <w:vAlign w:val="center"/>
          </w:tcPr>
          <w:p w14:paraId="1C96302F">
            <w:pPr>
              <w:pStyle w:val="59"/>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9"/>
              <w:rPr>
                <w:rFonts w:hint="eastAsia"/>
                <w:color w:val="auto"/>
                <w:lang w:val="zh-CN"/>
              </w:rPr>
            </w:pPr>
            <w:r>
              <w:rPr>
                <w:color w:val="auto"/>
                <w:lang w:val="zh-CN"/>
              </w:rPr>
              <w:t>1.4</w:t>
            </w:r>
          </w:p>
        </w:tc>
        <w:tc>
          <w:tcPr>
            <w:tcW w:w="1416" w:type="dxa"/>
            <w:vAlign w:val="center"/>
          </w:tcPr>
          <w:p w14:paraId="4BC14F11">
            <w:pPr>
              <w:pStyle w:val="59"/>
              <w:rPr>
                <w:rFonts w:hint="eastAsia"/>
                <w:color w:val="auto"/>
                <w:lang w:val="zh-CN"/>
              </w:rPr>
            </w:pPr>
            <w:r>
              <w:rPr>
                <w:rFonts w:hint="eastAsia"/>
                <w:color w:val="auto"/>
                <w:lang w:val="zh-CN"/>
              </w:rPr>
              <w:t>审批和资金落实</w:t>
            </w:r>
          </w:p>
        </w:tc>
        <w:tc>
          <w:tcPr>
            <w:tcW w:w="6472" w:type="dxa"/>
            <w:vAlign w:val="center"/>
          </w:tcPr>
          <w:p w14:paraId="52030A2E">
            <w:pPr>
              <w:pStyle w:val="59"/>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9"/>
              <w:rPr>
                <w:rFonts w:hint="eastAsia"/>
                <w:color w:val="auto"/>
                <w:lang w:val="zh-CN"/>
              </w:rPr>
            </w:pPr>
            <w:r>
              <w:rPr>
                <w:color w:val="auto"/>
                <w:lang w:val="zh-CN"/>
              </w:rPr>
              <w:t>1.5</w:t>
            </w:r>
          </w:p>
        </w:tc>
        <w:tc>
          <w:tcPr>
            <w:tcW w:w="1416" w:type="dxa"/>
            <w:vAlign w:val="center"/>
          </w:tcPr>
          <w:p w14:paraId="5B7ECCF6">
            <w:pPr>
              <w:pStyle w:val="59"/>
              <w:rPr>
                <w:rFonts w:hint="eastAsia"/>
                <w:color w:val="auto"/>
                <w:lang w:val="zh-CN"/>
              </w:rPr>
            </w:pPr>
            <w:r>
              <w:rPr>
                <w:rFonts w:hint="eastAsia"/>
                <w:color w:val="auto"/>
                <w:lang w:val="zh-CN"/>
              </w:rPr>
              <w:t>物资名称</w:t>
            </w:r>
          </w:p>
        </w:tc>
        <w:tc>
          <w:tcPr>
            <w:tcW w:w="6472" w:type="dxa"/>
            <w:vAlign w:val="center"/>
          </w:tcPr>
          <w:p w14:paraId="2A89F23A">
            <w:pPr>
              <w:pStyle w:val="59"/>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原乳液车间尾气处理系统招标采购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9"/>
              <w:rPr>
                <w:rFonts w:hint="eastAsia"/>
                <w:color w:val="auto"/>
                <w:lang w:val="zh-CN"/>
              </w:rPr>
            </w:pPr>
            <w:r>
              <w:rPr>
                <w:color w:val="auto"/>
                <w:lang w:val="zh-CN"/>
              </w:rPr>
              <w:t>1.6</w:t>
            </w:r>
          </w:p>
        </w:tc>
        <w:tc>
          <w:tcPr>
            <w:tcW w:w="1416" w:type="dxa"/>
            <w:vAlign w:val="center"/>
          </w:tcPr>
          <w:p w14:paraId="3DF87795">
            <w:pPr>
              <w:pStyle w:val="59"/>
              <w:rPr>
                <w:rFonts w:hint="eastAsia"/>
                <w:color w:val="auto"/>
                <w:lang w:val="zh-CN"/>
              </w:rPr>
            </w:pPr>
            <w:r>
              <w:rPr>
                <w:rFonts w:hint="eastAsia"/>
                <w:color w:val="auto"/>
                <w:lang w:val="zh-CN"/>
              </w:rPr>
              <w:t>物资数量</w:t>
            </w:r>
          </w:p>
        </w:tc>
        <w:tc>
          <w:tcPr>
            <w:tcW w:w="6472" w:type="dxa"/>
            <w:vAlign w:val="center"/>
          </w:tcPr>
          <w:p w14:paraId="00105AE3">
            <w:pPr>
              <w:pStyle w:val="59"/>
              <w:rPr>
                <w:rFonts w:hint="default" w:eastAsia="仿宋_GB2312"/>
                <w:color w:val="auto"/>
                <w:highlight w:val="yellow"/>
                <w:lang w:val="en-US" w:eastAsia="zh-CN"/>
              </w:rPr>
            </w:pPr>
            <w:r>
              <w:rPr>
                <w:rFonts w:hint="eastAsia" w:ascii="仿宋" w:eastAsia="仿宋"/>
                <w:color w:val="auto"/>
                <w:kern w:val="0"/>
                <w:sz w:val="20"/>
                <w:lang w:val="en-US" w:eastAsia="zh-CN"/>
              </w:rPr>
              <w:t>详见附件-原乳液车间尾气处理系统采购清单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9"/>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9"/>
              <w:rPr>
                <w:rFonts w:hint="eastAsia"/>
                <w:color w:val="auto"/>
                <w:lang w:val="zh-CN"/>
              </w:rPr>
            </w:pPr>
            <w:r>
              <w:rPr>
                <w:rFonts w:hint="eastAsia"/>
                <w:color w:val="auto"/>
                <w:lang w:val="zh-CN"/>
              </w:rPr>
              <w:t>招标范围</w:t>
            </w:r>
          </w:p>
        </w:tc>
        <w:tc>
          <w:tcPr>
            <w:tcW w:w="6472" w:type="dxa"/>
            <w:vAlign w:val="center"/>
          </w:tcPr>
          <w:p w14:paraId="20BA4ACC">
            <w:pPr>
              <w:pStyle w:val="59"/>
              <w:rPr>
                <w:rFonts w:hint="eastAsia" w:ascii="仿宋" w:eastAsia="仿宋"/>
                <w:color w:val="auto"/>
                <w:kern w:val="0"/>
                <w:sz w:val="20"/>
              </w:rPr>
            </w:pPr>
            <w:r>
              <w:rPr>
                <w:rFonts w:hint="eastAsia" w:ascii="仿宋" w:eastAsia="仿宋" w:cs="宋体"/>
                <w:color w:val="auto"/>
                <w:kern w:val="0"/>
                <w:sz w:val="20"/>
                <w:szCs w:val="20"/>
                <w:lang w:val="en-US" w:eastAsia="zh-CN"/>
              </w:rPr>
              <w:t>原乳液车间尾气处理系统采购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9"/>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9"/>
              <w:rPr>
                <w:rFonts w:hint="eastAsia"/>
                <w:color w:val="auto"/>
                <w:lang w:val="zh-CN"/>
              </w:rPr>
            </w:pPr>
            <w:r>
              <w:rPr>
                <w:rFonts w:hint="eastAsia"/>
                <w:color w:val="auto"/>
                <w:lang w:val="zh-CN"/>
              </w:rPr>
              <w:t>质保期</w:t>
            </w:r>
          </w:p>
        </w:tc>
        <w:tc>
          <w:tcPr>
            <w:tcW w:w="6472" w:type="dxa"/>
            <w:vAlign w:val="center"/>
          </w:tcPr>
          <w:p w14:paraId="611EE7D0">
            <w:pPr>
              <w:pStyle w:val="59"/>
              <w:rPr>
                <w:rFonts w:hint="eastAsia"/>
                <w:color w:val="auto"/>
                <w:lang w:val="zh-CN"/>
              </w:rPr>
            </w:pPr>
            <w:r>
              <w:rPr>
                <w:rFonts w:hint="eastAsia"/>
                <w:color w:val="auto"/>
                <w:lang w:val="zh-CN"/>
              </w:rPr>
              <w:t>本工程竣工验收后</w:t>
            </w:r>
            <w:r>
              <w:rPr>
                <w:rFonts w:hint="eastAsia"/>
                <w:color w:val="auto"/>
                <w:lang w:val="en-US" w:eastAsia="zh-CN"/>
              </w:rPr>
              <w:t>12</w:t>
            </w:r>
            <w:r>
              <w:rPr>
                <w:rFonts w:hint="eastAsia"/>
                <w:color w:val="auto"/>
              </w:rPr>
              <w:t>个月</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9"/>
              <w:rPr>
                <w:rFonts w:hint="eastAsia"/>
                <w:color w:val="auto"/>
                <w:lang w:val="zh-CN"/>
              </w:rPr>
            </w:pPr>
            <w:r>
              <w:rPr>
                <w:color w:val="auto"/>
                <w:lang w:val="zh-CN"/>
              </w:rPr>
              <w:t>1.9</w:t>
            </w:r>
          </w:p>
        </w:tc>
        <w:tc>
          <w:tcPr>
            <w:tcW w:w="1416" w:type="dxa"/>
            <w:vAlign w:val="center"/>
          </w:tcPr>
          <w:p w14:paraId="2C6C74B9">
            <w:pPr>
              <w:pStyle w:val="59"/>
              <w:rPr>
                <w:rFonts w:hint="eastAsia"/>
                <w:color w:val="auto"/>
                <w:lang w:val="zh-CN"/>
              </w:rPr>
            </w:pPr>
            <w:r>
              <w:rPr>
                <w:rFonts w:hint="eastAsia"/>
                <w:color w:val="auto"/>
                <w:lang w:val="zh-CN"/>
              </w:rPr>
              <w:t>交货日期</w:t>
            </w:r>
          </w:p>
        </w:tc>
        <w:tc>
          <w:tcPr>
            <w:tcW w:w="6472" w:type="dxa"/>
            <w:vAlign w:val="center"/>
          </w:tcPr>
          <w:p w14:paraId="57C6B758">
            <w:pPr>
              <w:pStyle w:val="59"/>
              <w:rPr>
                <w:rFonts w:hint="eastAsia"/>
                <w:color w:val="auto"/>
              </w:rPr>
            </w:pPr>
            <w:r>
              <w:rPr>
                <w:rFonts w:hint="eastAsia"/>
                <w:color w:val="auto"/>
                <w:lang w:val="en-US" w:eastAsia="zh-CN"/>
              </w:rPr>
              <w:t>60</w:t>
            </w:r>
            <w:r>
              <w:rPr>
                <w:rFonts w:hint="eastAsia"/>
                <w:color w:val="auto"/>
              </w:rPr>
              <w:t>自然日内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9"/>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9"/>
              <w:rPr>
                <w:rFonts w:ascii="Calibri" w:hAnsi="Calibri"/>
                <w:color w:val="auto"/>
              </w:rPr>
            </w:pPr>
            <w:r>
              <w:rPr>
                <w:rFonts w:hint="eastAsia" w:ascii="Calibri" w:hAnsi="Calibri"/>
                <w:color w:val="auto"/>
              </w:rPr>
              <w:t>付款方式和进度</w:t>
            </w:r>
          </w:p>
        </w:tc>
        <w:tc>
          <w:tcPr>
            <w:tcW w:w="6472" w:type="dxa"/>
            <w:vAlign w:val="center"/>
          </w:tcPr>
          <w:p w14:paraId="5F3BD0EA">
            <w:pPr>
              <w:pStyle w:val="59"/>
              <w:ind w:firstLine="420" w:firstLineChars="200"/>
              <w:rPr>
                <w:rFonts w:hint="eastAsia"/>
                <w:color w:val="auto"/>
                <w:highlight w:val="yellow"/>
                <w:lang w:val="zh-CN"/>
              </w:rPr>
            </w:pPr>
            <w:r>
              <w:rPr>
                <w:rFonts w:hint="eastAsia"/>
                <w:color w:val="auto"/>
                <w:lang w:val="en-US" w:eastAsia="zh-CN"/>
              </w:rPr>
              <w:t>合同签订后支付20%预付款，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预付款支付前提供等额的13%增值税发票，到货款支付前提供全额13%增值税发票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9"/>
              <w:rPr>
                <w:rFonts w:hint="eastAsia"/>
                <w:color w:val="auto"/>
                <w:lang w:val="zh-CN"/>
              </w:rPr>
            </w:pPr>
            <w:r>
              <w:rPr>
                <w:color w:val="auto"/>
                <w:lang w:val="zh-CN"/>
              </w:rPr>
              <w:t>1.11</w:t>
            </w:r>
          </w:p>
        </w:tc>
        <w:tc>
          <w:tcPr>
            <w:tcW w:w="1416" w:type="dxa"/>
            <w:vAlign w:val="center"/>
          </w:tcPr>
          <w:p w14:paraId="07E5C0A8">
            <w:pPr>
              <w:pStyle w:val="59"/>
              <w:rPr>
                <w:rFonts w:hint="eastAsia"/>
                <w:color w:val="auto"/>
                <w:lang w:val="zh-CN"/>
              </w:rPr>
            </w:pPr>
            <w:r>
              <w:rPr>
                <w:rFonts w:hint="eastAsia"/>
                <w:color w:val="auto"/>
                <w:lang w:val="zh-CN"/>
              </w:rPr>
              <w:t>投标有效期</w:t>
            </w:r>
          </w:p>
        </w:tc>
        <w:tc>
          <w:tcPr>
            <w:tcW w:w="6472" w:type="dxa"/>
            <w:vAlign w:val="center"/>
          </w:tcPr>
          <w:p w14:paraId="141CB471">
            <w:pPr>
              <w:pStyle w:val="59"/>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9"/>
              <w:rPr>
                <w:rFonts w:hint="eastAsia"/>
                <w:color w:val="auto"/>
                <w:lang w:val="zh-CN"/>
              </w:rPr>
            </w:pPr>
            <w:r>
              <w:rPr>
                <w:color w:val="auto"/>
                <w:lang w:val="zh-CN"/>
              </w:rPr>
              <w:t>1.12</w:t>
            </w:r>
          </w:p>
        </w:tc>
        <w:tc>
          <w:tcPr>
            <w:tcW w:w="1416" w:type="dxa"/>
            <w:vAlign w:val="center"/>
          </w:tcPr>
          <w:p w14:paraId="68934413">
            <w:pPr>
              <w:pStyle w:val="59"/>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9"/>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9"/>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9"/>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9"/>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9"/>
              <w:rPr>
                <w:rFonts w:hint="eastAsia"/>
                <w:color w:val="auto"/>
                <w:lang w:val="zh-CN"/>
              </w:rPr>
            </w:pPr>
            <w:r>
              <w:rPr>
                <w:rFonts w:hint="eastAsia"/>
                <w:color w:val="auto"/>
                <w:lang w:val="zh-CN"/>
              </w:rPr>
              <w:t>5.如是代理商投标的，需提供物资制造商给投标人的有效授权书。</w:t>
            </w:r>
          </w:p>
          <w:p w14:paraId="7ADE5A9C">
            <w:pPr>
              <w:pStyle w:val="59"/>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9"/>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9"/>
              <w:rPr>
                <w:rFonts w:hint="eastAsia"/>
                <w:color w:val="auto"/>
                <w:lang w:val="zh-CN"/>
              </w:rPr>
            </w:pPr>
            <w:r>
              <w:rPr>
                <w:color w:val="auto"/>
                <w:lang w:val="zh-CN"/>
              </w:rPr>
              <w:t>2.1</w:t>
            </w:r>
          </w:p>
        </w:tc>
        <w:tc>
          <w:tcPr>
            <w:tcW w:w="1416" w:type="dxa"/>
            <w:vAlign w:val="center"/>
          </w:tcPr>
          <w:p w14:paraId="1164FFD0">
            <w:pPr>
              <w:pStyle w:val="59"/>
              <w:rPr>
                <w:rFonts w:hint="eastAsia"/>
                <w:color w:val="auto"/>
                <w:highlight w:val="yellow"/>
                <w:lang w:val="zh-CN"/>
              </w:rPr>
            </w:pPr>
            <w:r>
              <w:rPr>
                <w:rFonts w:hint="eastAsia"/>
                <w:color w:val="auto"/>
                <w:lang w:val="zh-CN"/>
              </w:rPr>
              <w:t>投标文件</w:t>
            </w:r>
          </w:p>
        </w:tc>
        <w:tc>
          <w:tcPr>
            <w:tcW w:w="6472" w:type="dxa"/>
            <w:vAlign w:val="center"/>
          </w:tcPr>
          <w:p w14:paraId="6AB69777">
            <w:pPr>
              <w:pStyle w:val="59"/>
              <w:rPr>
                <w:rFonts w:hint="eastAsia"/>
                <w:color w:val="auto"/>
                <w:lang w:val="zh-CN"/>
              </w:rPr>
            </w:pPr>
            <w:r>
              <w:rPr>
                <w:rFonts w:hint="eastAsia"/>
                <w:color w:val="auto"/>
                <w:lang w:val="zh-CN"/>
              </w:rPr>
              <w:t>本次招标需提供以下版本的投标文件：</w:t>
            </w:r>
          </w:p>
          <w:p w14:paraId="79DDA650">
            <w:pPr>
              <w:pStyle w:val="59"/>
              <w:rPr>
                <w:rFonts w:hint="eastAsia"/>
                <w:color w:val="auto"/>
                <w:lang w:val="zh-CN"/>
              </w:rPr>
            </w:pPr>
            <w:r>
              <w:rPr>
                <w:rFonts w:hint="eastAsia"/>
                <w:color w:val="auto"/>
                <w:lang w:val="zh-CN"/>
              </w:rPr>
              <w:t>正本1份，副本4份。</w:t>
            </w:r>
          </w:p>
          <w:p w14:paraId="47425574">
            <w:pPr>
              <w:pStyle w:val="59"/>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9"/>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9"/>
              <w:rPr>
                <w:rFonts w:hint="eastAsia"/>
                <w:color w:val="auto"/>
                <w:lang w:val="zh-CN"/>
              </w:rPr>
            </w:pPr>
            <w:r>
              <w:rPr>
                <w:color w:val="auto"/>
                <w:lang w:val="zh-CN"/>
              </w:rPr>
              <w:t>2.2</w:t>
            </w:r>
          </w:p>
        </w:tc>
        <w:tc>
          <w:tcPr>
            <w:tcW w:w="1416" w:type="dxa"/>
            <w:vAlign w:val="center"/>
          </w:tcPr>
          <w:p w14:paraId="6CFAD799">
            <w:pPr>
              <w:pStyle w:val="59"/>
              <w:rPr>
                <w:rFonts w:hint="eastAsia"/>
                <w:color w:val="auto"/>
                <w:lang w:val="zh-CN"/>
              </w:rPr>
            </w:pPr>
            <w:r>
              <w:rPr>
                <w:rFonts w:hint="eastAsia"/>
                <w:color w:val="auto"/>
                <w:lang w:val="zh-CN"/>
              </w:rPr>
              <w:t>投标文件签署</w:t>
            </w:r>
          </w:p>
        </w:tc>
        <w:tc>
          <w:tcPr>
            <w:tcW w:w="6472" w:type="dxa"/>
            <w:vAlign w:val="center"/>
          </w:tcPr>
          <w:p w14:paraId="6E2DF59A">
            <w:pPr>
              <w:pStyle w:val="59"/>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9"/>
              <w:rPr>
                <w:rFonts w:hint="eastAsia"/>
                <w:color w:val="auto"/>
                <w:lang w:val="zh-CN"/>
              </w:rPr>
            </w:pPr>
            <w:r>
              <w:rPr>
                <w:color w:val="auto"/>
                <w:lang w:val="zh-CN"/>
              </w:rPr>
              <w:t>2.3</w:t>
            </w:r>
          </w:p>
        </w:tc>
        <w:tc>
          <w:tcPr>
            <w:tcW w:w="1416" w:type="dxa"/>
            <w:vAlign w:val="center"/>
          </w:tcPr>
          <w:p w14:paraId="3F948574">
            <w:pPr>
              <w:pStyle w:val="59"/>
              <w:rPr>
                <w:rFonts w:hint="eastAsia"/>
                <w:color w:val="auto"/>
                <w:lang w:val="zh-CN"/>
              </w:rPr>
            </w:pPr>
            <w:r>
              <w:rPr>
                <w:rFonts w:hint="eastAsia"/>
                <w:color w:val="auto"/>
                <w:lang w:val="zh-CN"/>
              </w:rPr>
              <w:t>加密和密封要求</w:t>
            </w:r>
          </w:p>
        </w:tc>
        <w:tc>
          <w:tcPr>
            <w:tcW w:w="6472" w:type="dxa"/>
            <w:vAlign w:val="center"/>
          </w:tcPr>
          <w:p w14:paraId="3FD0954C">
            <w:pPr>
              <w:pStyle w:val="59"/>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9"/>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9"/>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9"/>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9"/>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9"/>
              <w:rPr>
                <w:rFonts w:hint="eastAsia"/>
                <w:color w:val="auto"/>
                <w:lang w:val="zh-CN"/>
              </w:rPr>
            </w:pPr>
            <w:r>
              <w:rPr>
                <w:rFonts w:hint="eastAsia"/>
                <w:color w:val="auto"/>
                <w:lang w:val="zh-CN"/>
              </w:rPr>
              <w:t>投标语言及计量单位</w:t>
            </w:r>
          </w:p>
        </w:tc>
        <w:tc>
          <w:tcPr>
            <w:tcW w:w="6472" w:type="dxa"/>
            <w:vAlign w:val="center"/>
          </w:tcPr>
          <w:p w14:paraId="2DD92D76">
            <w:pPr>
              <w:pStyle w:val="59"/>
              <w:rPr>
                <w:rFonts w:hint="eastAsia"/>
                <w:color w:val="auto"/>
                <w:lang w:val="zh-CN"/>
              </w:rPr>
            </w:pPr>
            <w:r>
              <w:rPr>
                <w:rFonts w:hint="eastAsia"/>
                <w:color w:val="auto"/>
                <w:lang w:val="zh-CN"/>
              </w:rPr>
              <w:t>1.投标文件及投标人和招标人就投标所交换的文件，应以中文书写。</w:t>
            </w:r>
          </w:p>
          <w:p w14:paraId="7FB1D9E9">
            <w:pPr>
              <w:pStyle w:val="59"/>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9"/>
              <w:rPr>
                <w:rFonts w:hint="eastAsia"/>
                <w:color w:val="auto"/>
                <w:lang w:val="zh-CN"/>
              </w:rPr>
            </w:pPr>
            <w:r>
              <w:rPr>
                <w:rFonts w:hint="eastAsia"/>
                <w:color w:val="auto"/>
                <w:lang w:val="zh-CN"/>
              </w:rPr>
              <w:t>3.1</w:t>
            </w:r>
          </w:p>
        </w:tc>
        <w:tc>
          <w:tcPr>
            <w:tcW w:w="1416" w:type="dxa"/>
            <w:vAlign w:val="center"/>
          </w:tcPr>
          <w:p w14:paraId="3774A178">
            <w:pPr>
              <w:pStyle w:val="59"/>
              <w:rPr>
                <w:rFonts w:hint="eastAsia"/>
                <w:color w:val="auto"/>
                <w:lang w:val="zh-CN"/>
              </w:rPr>
            </w:pPr>
            <w:r>
              <w:rPr>
                <w:rFonts w:hint="eastAsia"/>
                <w:color w:val="auto"/>
                <w:lang w:val="zh-CN"/>
              </w:rPr>
              <w:t>技术投标文件</w:t>
            </w:r>
          </w:p>
        </w:tc>
        <w:tc>
          <w:tcPr>
            <w:tcW w:w="6472" w:type="dxa"/>
            <w:vAlign w:val="center"/>
          </w:tcPr>
          <w:p w14:paraId="10633BF5">
            <w:pPr>
              <w:pStyle w:val="59"/>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9"/>
              <w:rPr>
                <w:rFonts w:hint="eastAsia"/>
                <w:color w:val="auto"/>
                <w:lang w:val="zh-CN"/>
              </w:rPr>
            </w:pPr>
            <w:r>
              <w:rPr>
                <w:color w:val="auto"/>
                <w:lang w:val="zh-CN"/>
              </w:rPr>
              <w:t>3.1.1</w:t>
            </w:r>
          </w:p>
        </w:tc>
        <w:tc>
          <w:tcPr>
            <w:tcW w:w="1416" w:type="dxa"/>
            <w:vAlign w:val="center"/>
          </w:tcPr>
          <w:p w14:paraId="089392F1">
            <w:pPr>
              <w:pStyle w:val="59"/>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9"/>
              <w:rPr>
                <w:rFonts w:hint="eastAsia"/>
                <w:color w:val="auto"/>
                <w:lang w:val="zh-CN"/>
              </w:rPr>
            </w:pPr>
            <w:r>
              <w:rPr>
                <w:rFonts w:hint="eastAsia"/>
                <w:color w:val="auto"/>
                <w:lang w:val="zh-CN"/>
              </w:rPr>
              <w:t>1.法定代表人授权书（附件1）</w:t>
            </w:r>
          </w:p>
          <w:p w14:paraId="587461D5">
            <w:pPr>
              <w:pStyle w:val="59"/>
              <w:rPr>
                <w:rFonts w:hint="eastAsia"/>
                <w:color w:val="auto"/>
                <w:lang w:val="zh-CN"/>
              </w:rPr>
            </w:pPr>
            <w:r>
              <w:rPr>
                <w:rFonts w:hint="eastAsia"/>
                <w:color w:val="auto"/>
                <w:lang w:val="zh-CN"/>
              </w:rPr>
              <w:t>2.法定代表人身份证明（附件2）</w:t>
            </w:r>
          </w:p>
          <w:p w14:paraId="03DA16C1">
            <w:pPr>
              <w:pStyle w:val="59"/>
              <w:rPr>
                <w:rFonts w:hint="eastAsia"/>
                <w:color w:val="auto"/>
                <w:lang w:val="zh-CN"/>
              </w:rPr>
            </w:pPr>
            <w:r>
              <w:rPr>
                <w:rFonts w:hint="eastAsia"/>
                <w:color w:val="auto"/>
                <w:lang w:val="zh-CN"/>
              </w:rPr>
              <w:t>3.投标文件真实性声明（附件3）</w:t>
            </w:r>
          </w:p>
          <w:p w14:paraId="60A78C94">
            <w:pPr>
              <w:pStyle w:val="59"/>
              <w:rPr>
                <w:rFonts w:hint="eastAsia"/>
                <w:color w:val="auto"/>
                <w:lang w:val="zh-CN"/>
              </w:rPr>
            </w:pPr>
            <w:r>
              <w:rPr>
                <w:rFonts w:hint="eastAsia"/>
                <w:color w:val="auto"/>
                <w:lang w:val="zh-CN"/>
              </w:rPr>
              <w:t>4.资格审查证明文件</w:t>
            </w:r>
          </w:p>
          <w:p w14:paraId="16C8F8E3">
            <w:pPr>
              <w:pStyle w:val="59"/>
              <w:ind w:firstLine="210"/>
              <w:rPr>
                <w:rFonts w:hint="eastAsia"/>
                <w:color w:val="auto"/>
                <w:lang w:val="zh-CN"/>
              </w:rPr>
            </w:pPr>
            <w:r>
              <w:rPr>
                <w:rFonts w:hint="eastAsia"/>
                <w:color w:val="auto"/>
                <w:lang w:val="zh-CN"/>
              </w:rPr>
              <w:t>4.1投标人的资格声明（附件4）</w:t>
            </w:r>
          </w:p>
          <w:p w14:paraId="3700DE41">
            <w:pPr>
              <w:pStyle w:val="59"/>
              <w:ind w:firstLine="210"/>
              <w:rPr>
                <w:rFonts w:hint="eastAsia"/>
                <w:color w:val="auto"/>
                <w:lang w:val="zh-CN"/>
              </w:rPr>
            </w:pPr>
            <w:r>
              <w:rPr>
                <w:rFonts w:hint="eastAsia"/>
                <w:color w:val="auto"/>
                <w:lang w:val="zh-CN"/>
              </w:rPr>
              <w:t>4.2制造商出具的授权函（如适用）（附件5）</w:t>
            </w:r>
          </w:p>
          <w:p w14:paraId="375B2986">
            <w:pPr>
              <w:pStyle w:val="59"/>
              <w:ind w:firstLine="210"/>
              <w:rPr>
                <w:rFonts w:hint="eastAsia"/>
                <w:color w:val="auto"/>
                <w:lang w:val="zh-CN"/>
              </w:rPr>
            </w:pPr>
            <w:r>
              <w:rPr>
                <w:rFonts w:hint="eastAsia"/>
                <w:color w:val="auto"/>
                <w:lang w:val="zh-CN"/>
              </w:rPr>
              <w:t>4.3 认证证书及相关文件（附件6）</w:t>
            </w:r>
          </w:p>
          <w:p w14:paraId="3F54BF37">
            <w:pPr>
              <w:pStyle w:val="59"/>
              <w:ind w:firstLine="210"/>
              <w:rPr>
                <w:rFonts w:hint="eastAsia"/>
                <w:color w:val="auto"/>
                <w:lang w:val="zh-CN"/>
              </w:rPr>
            </w:pPr>
            <w:r>
              <w:rPr>
                <w:rFonts w:hint="eastAsia"/>
                <w:color w:val="auto"/>
                <w:lang w:val="zh-CN"/>
              </w:rPr>
              <w:t xml:space="preserve">  4.3.1 ISO9001证书</w:t>
            </w:r>
          </w:p>
          <w:p w14:paraId="31386A09">
            <w:pPr>
              <w:pStyle w:val="59"/>
              <w:ind w:firstLine="210"/>
              <w:rPr>
                <w:rFonts w:hint="eastAsia"/>
                <w:color w:val="auto"/>
                <w:lang w:val="zh-CN"/>
              </w:rPr>
            </w:pPr>
            <w:r>
              <w:rPr>
                <w:rFonts w:hint="eastAsia"/>
                <w:color w:val="auto"/>
                <w:lang w:val="zh-CN"/>
              </w:rPr>
              <w:t xml:space="preserve">  4.3.2 HSE证书（或ISO14000和ISO18000证书）</w:t>
            </w:r>
          </w:p>
          <w:p w14:paraId="5C48B8EE">
            <w:pPr>
              <w:pStyle w:val="59"/>
              <w:ind w:firstLine="210"/>
              <w:rPr>
                <w:rFonts w:hint="eastAsia"/>
                <w:color w:val="auto"/>
                <w:lang w:val="zh-CN"/>
              </w:rPr>
            </w:pPr>
            <w:r>
              <w:rPr>
                <w:rFonts w:hint="eastAsia"/>
                <w:color w:val="auto"/>
                <w:lang w:val="zh-CN"/>
              </w:rPr>
              <w:t xml:space="preserve">  4.3.3独立机构出具的资信等级证明</w:t>
            </w:r>
          </w:p>
          <w:p w14:paraId="6CEB5E3F">
            <w:pPr>
              <w:pStyle w:val="59"/>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9"/>
              <w:rPr>
                <w:rFonts w:hint="eastAsia"/>
                <w:color w:val="auto"/>
                <w:lang w:val="zh-CN"/>
              </w:rPr>
            </w:pPr>
            <w:r>
              <w:rPr>
                <w:color w:val="auto"/>
                <w:lang w:val="zh-CN"/>
              </w:rPr>
              <w:t>3.1.2</w:t>
            </w:r>
          </w:p>
        </w:tc>
        <w:tc>
          <w:tcPr>
            <w:tcW w:w="1416" w:type="dxa"/>
            <w:vAlign w:val="center"/>
          </w:tcPr>
          <w:p w14:paraId="5C195660">
            <w:pPr>
              <w:pStyle w:val="59"/>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9"/>
              <w:rPr>
                <w:rFonts w:hint="eastAsia"/>
                <w:color w:val="auto"/>
                <w:lang w:val="zh-CN"/>
              </w:rPr>
            </w:pPr>
            <w:r>
              <w:rPr>
                <w:rFonts w:hint="eastAsia"/>
                <w:color w:val="auto"/>
                <w:lang w:val="zh-CN"/>
              </w:rPr>
              <w:t>1.技术方案响应情况：技术方案及说明、设计文件。（附件7）</w:t>
            </w:r>
          </w:p>
          <w:p w14:paraId="2EC1BFDC">
            <w:pPr>
              <w:pStyle w:val="59"/>
              <w:rPr>
                <w:rFonts w:hint="eastAsia"/>
                <w:color w:val="auto"/>
                <w:lang w:val="zh-CN"/>
              </w:rPr>
            </w:pPr>
            <w:r>
              <w:rPr>
                <w:rFonts w:hint="eastAsia"/>
                <w:color w:val="auto"/>
                <w:lang w:val="zh-CN"/>
              </w:rPr>
              <w:t>2.技术规格偏差表（附件8）</w:t>
            </w:r>
          </w:p>
          <w:p w14:paraId="59EA1FC8">
            <w:pPr>
              <w:pStyle w:val="59"/>
              <w:rPr>
                <w:rFonts w:hint="eastAsia"/>
                <w:color w:val="auto"/>
                <w:lang w:val="zh-CN"/>
              </w:rPr>
            </w:pPr>
            <w:r>
              <w:rPr>
                <w:rFonts w:hint="eastAsia"/>
                <w:color w:val="auto"/>
                <w:lang w:val="zh-CN"/>
              </w:rPr>
              <w:t>3.商务条款偏差表（附件9）</w:t>
            </w:r>
          </w:p>
          <w:p w14:paraId="05D212BA">
            <w:pPr>
              <w:pStyle w:val="59"/>
              <w:rPr>
                <w:rFonts w:hint="eastAsia"/>
                <w:color w:val="auto"/>
                <w:lang w:val="zh-CN"/>
              </w:rPr>
            </w:pPr>
            <w:r>
              <w:rPr>
                <w:rFonts w:hint="eastAsia"/>
                <w:color w:val="auto"/>
                <w:lang w:val="zh-CN"/>
              </w:rPr>
              <w:t>4.业绩表：近5年行业内相同或类似型号产品业绩表（附件10）</w:t>
            </w:r>
          </w:p>
          <w:p w14:paraId="67251F97">
            <w:pPr>
              <w:pStyle w:val="59"/>
              <w:rPr>
                <w:rFonts w:hint="eastAsia"/>
                <w:color w:val="auto"/>
                <w:lang w:val="zh-CN"/>
              </w:rPr>
            </w:pPr>
            <w:r>
              <w:rPr>
                <w:rFonts w:hint="eastAsia"/>
                <w:color w:val="auto"/>
                <w:lang w:val="zh-CN"/>
              </w:rPr>
              <w:t>5.对本次招标物资的服务承诺及质保措施（附件11）</w:t>
            </w:r>
          </w:p>
          <w:p w14:paraId="1639E2A3">
            <w:pPr>
              <w:pStyle w:val="59"/>
              <w:rPr>
                <w:rFonts w:hint="eastAsia"/>
                <w:color w:val="auto"/>
                <w:lang w:val="zh-CN"/>
              </w:rPr>
            </w:pPr>
            <w:r>
              <w:rPr>
                <w:rFonts w:hint="eastAsia"/>
                <w:color w:val="auto"/>
                <w:lang w:val="zh-CN"/>
              </w:rPr>
              <w:t>6.投标物资一览表</w:t>
            </w:r>
          </w:p>
          <w:p w14:paraId="45B84794">
            <w:pPr>
              <w:pStyle w:val="59"/>
              <w:ind w:firstLine="210"/>
              <w:rPr>
                <w:rFonts w:hint="eastAsia"/>
                <w:color w:val="auto"/>
                <w:lang w:val="zh-CN"/>
              </w:rPr>
            </w:pPr>
            <w:r>
              <w:rPr>
                <w:rFonts w:hint="eastAsia"/>
                <w:color w:val="auto"/>
                <w:lang w:val="zh-CN"/>
              </w:rPr>
              <w:t>6.1投标物资范围表（附件12-1）</w:t>
            </w:r>
          </w:p>
          <w:p w14:paraId="499ED3BA">
            <w:pPr>
              <w:pStyle w:val="59"/>
              <w:ind w:firstLine="210"/>
              <w:rPr>
                <w:rFonts w:hint="eastAsia"/>
                <w:color w:val="auto"/>
                <w:lang w:val="zh-CN"/>
              </w:rPr>
            </w:pPr>
            <w:r>
              <w:rPr>
                <w:rFonts w:hint="eastAsia"/>
                <w:color w:val="auto"/>
                <w:lang w:val="zh-CN"/>
              </w:rPr>
              <w:t>6.2随机备件一览表（如适用）（附件 12-2）</w:t>
            </w:r>
          </w:p>
          <w:p w14:paraId="6D2D740A">
            <w:pPr>
              <w:pStyle w:val="59"/>
              <w:ind w:firstLine="210"/>
              <w:rPr>
                <w:rFonts w:hint="eastAsia"/>
                <w:color w:val="auto"/>
                <w:lang w:val="zh-CN"/>
              </w:rPr>
            </w:pPr>
            <w:r>
              <w:rPr>
                <w:rFonts w:hint="eastAsia"/>
                <w:color w:val="auto"/>
                <w:lang w:val="zh-CN"/>
              </w:rPr>
              <w:t>6.3备件一览表（一年或二年）（如适用）（附件12-3）</w:t>
            </w:r>
          </w:p>
          <w:p w14:paraId="03C98BF0">
            <w:pPr>
              <w:pStyle w:val="59"/>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9"/>
              <w:rPr>
                <w:rFonts w:hint="eastAsia"/>
                <w:color w:val="auto"/>
                <w:lang w:val="zh-CN"/>
              </w:rPr>
            </w:pPr>
            <w:r>
              <w:rPr>
                <w:rFonts w:hint="eastAsia"/>
                <w:color w:val="auto"/>
                <w:lang w:val="zh-CN"/>
              </w:rPr>
              <w:t>注1：本次招标项目技术响应部分应包括附件7、附件8、附件9、附件10、附件11、附件12-1、附件12-2、附件12-3以及上述第1</w:t>
            </w:r>
            <w:r>
              <w:rPr>
                <w:rFonts w:hint="eastAsia"/>
                <w:color w:val="auto"/>
              </w:rPr>
              <w:t>2</w:t>
            </w:r>
            <w:r>
              <w:rPr>
                <w:rFonts w:hint="eastAsia"/>
                <w:color w:val="auto"/>
                <w:lang w:val="zh-CN"/>
              </w:rPr>
              <w:t>款中的内容。</w:t>
            </w:r>
          </w:p>
          <w:p w14:paraId="2E073AC7">
            <w:pPr>
              <w:pStyle w:val="59"/>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9"/>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9"/>
              <w:rPr>
                <w:rFonts w:hint="eastAsia"/>
                <w:color w:val="auto"/>
                <w:lang w:val="zh-CN"/>
              </w:rPr>
            </w:pPr>
            <w:r>
              <w:rPr>
                <w:color w:val="auto"/>
                <w:lang w:val="zh-CN"/>
              </w:rPr>
              <w:t>3.2</w:t>
            </w:r>
          </w:p>
        </w:tc>
        <w:tc>
          <w:tcPr>
            <w:tcW w:w="1416" w:type="dxa"/>
            <w:vAlign w:val="center"/>
          </w:tcPr>
          <w:p w14:paraId="26F476E0">
            <w:pPr>
              <w:pStyle w:val="59"/>
              <w:rPr>
                <w:rFonts w:hint="eastAsia"/>
                <w:color w:val="auto"/>
                <w:lang w:val="zh-CN"/>
              </w:rPr>
            </w:pPr>
            <w:r>
              <w:rPr>
                <w:rFonts w:hint="eastAsia"/>
                <w:color w:val="auto"/>
                <w:lang w:val="zh-CN"/>
              </w:rPr>
              <w:t>商务投标文件</w:t>
            </w:r>
          </w:p>
        </w:tc>
        <w:tc>
          <w:tcPr>
            <w:tcW w:w="6472" w:type="dxa"/>
            <w:vAlign w:val="center"/>
          </w:tcPr>
          <w:p w14:paraId="0B812DA5">
            <w:pPr>
              <w:pStyle w:val="59"/>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9"/>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9"/>
              <w:rPr>
                <w:rFonts w:hint="eastAsia"/>
                <w:color w:val="auto"/>
                <w:lang w:val="zh-CN"/>
              </w:rPr>
            </w:pPr>
            <w:r>
              <w:rPr>
                <w:rFonts w:hint="eastAsia"/>
                <w:color w:val="auto"/>
                <w:lang w:val="zh-CN"/>
              </w:rPr>
              <w:t>3.分项报价表</w:t>
            </w:r>
          </w:p>
          <w:p w14:paraId="3F885722">
            <w:pPr>
              <w:pStyle w:val="59"/>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9"/>
              <w:rPr>
                <w:rFonts w:hint="eastAsia"/>
                <w:color w:val="auto"/>
                <w:lang w:val="zh-CN"/>
              </w:rPr>
            </w:pPr>
            <w:r>
              <w:rPr>
                <w:rFonts w:hint="eastAsia"/>
                <w:color w:val="auto"/>
                <w:lang w:val="zh-CN"/>
              </w:rPr>
              <w:t xml:space="preserve">   3.2备件及其价格一览表（一年或二年）（如适用）（附件1</w:t>
            </w:r>
            <w:r>
              <w:rPr>
                <w:rFonts w:hint="eastAsia"/>
                <w:color w:val="auto"/>
              </w:rPr>
              <w:t>5</w:t>
            </w:r>
            <w:r>
              <w:rPr>
                <w:rFonts w:hint="eastAsia"/>
                <w:color w:val="auto"/>
                <w:lang w:val="zh-CN"/>
              </w:rPr>
              <w:t>-2）</w:t>
            </w:r>
          </w:p>
          <w:p w14:paraId="0B7C3D1E">
            <w:pPr>
              <w:pStyle w:val="59"/>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9"/>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9"/>
              <w:rPr>
                <w:rFonts w:hint="eastAsia"/>
                <w:color w:val="auto"/>
                <w:lang w:val="zh-CN"/>
              </w:rPr>
            </w:pPr>
            <w:r>
              <w:rPr>
                <w:color w:val="auto"/>
                <w:lang w:val="zh-CN"/>
              </w:rPr>
              <w:t>3.3</w:t>
            </w:r>
          </w:p>
        </w:tc>
        <w:tc>
          <w:tcPr>
            <w:tcW w:w="1416" w:type="dxa"/>
            <w:vAlign w:val="center"/>
          </w:tcPr>
          <w:p w14:paraId="14D9D0A5">
            <w:pPr>
              <w:pStyle w:val="59"/>
              <w:rPr>
                <w:rFonts w:hint="eastAsia"/>
                <w:color w:val="auto"/>
                <w:lang w:val="zh-CN"/>
              </w:rPr>
            </w:pPr>
            <w:r>
              <w:rPr>
                <w:rFonts w:hint="eastAsia"/>
                <w:color w:val="auto"/>
                <w:lang w:val="zh-CN"/>
              </w:rPr>
              <w:t>其他要求</w:t>
            </w:r>
          </w:p>
        </w:tc>
        <w:tc>
          <w:tcPr>
            <w:tcW w:w="6472" w:type="dxa"/>
            <w:vAlign w:val="center"/>
          </w:tcPr>
          <w:p w14:paraId="03260237">
            <w:pPr>
              <w:pStyle w:val="59"/>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9"/>
              <w:rPr>
                <w:rFonts w:hint="eastAsia"/>
                <w:color w:val="auto"/>
                <w:lang w:val="zh-CN"/>
              </w:rPr>
            </w:pPr>
            <w:r>
              <w:rPr>
                <w:rFonts w:hint="eastAsia"/>
                <w:color w:val="auto"/>
                <w:lang w:val="zh-CN"/>
              </w:rPr>
              <w:t>2.投标人须就全部招标物资投标。招标人有权将招标物资分拆授标。</w:t>
            </w:r>
          </w:p>
          <w:p w14:paraId="162FFDE5">
            <w:pPr>
              <w:pStyle w:val="59"/>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9"/>
              <w:rPr>
                <w:rFonts w:hint="eastAsia"/>
                <w:color w:val="auto"/>
                <w:lang w:val="zh-CN"/>
              </w:rPr>
            </w:pPr>
            <w:r>
              <w:rPr>
                <w:rFonts w:hint="eastAsia"/>
                <w:color w:val="auto"/>
                <w:lang w:val="zh-CN"/>
              </w:rPr>
              <w:t>4.投标报价表填写时应注意：</w:t>
            </w:r>
          </w:p>
          <w:p w14:paraId="11D68FF8">
            <w:pPr>
              <w:pStyle w:val="59"/>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9"/>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9"/>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9"/>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9"/>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9"/>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9"/>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9"/>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9"/>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9"/>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9"/>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6"/>
        <w:rPr>
          <w:color w:val="auto"/>
        </w:rPr>
      </w:pPr>
      <w:r>
        <w:rPr>
          <w:color w:val="auto"/>
          <w:sz w:val="30"/>
        </w:rPr>
        <w:br w:type="page"/>
      </w:r>
      <w:bookmarkStart w:id="11" w:name="_Toc26126"/>
      <w:bookmarkStart w:id="12" w:name="_Toc409991254"/>
      <w:bookmarkStart w:id="13" w:name="_Toc409991170"/>
      <w:r>
        <w:rPr>
          <w:rFonts w:hint="eastAsia"/>
          <w:color w:val="auto"/>
        </w:rPr>
        <w:t>（二）投标人须知</w:t>
      </w:r>
      <w:bookmarkEnd w:id="11"/>
      <w:bookmarkEnd w:id="12"/>
      <w:bookmarkEnd w:id="13"/>
    </w:p>
    <w:p w14:paraId="436752DD">
      <w:pPr>
        <w:pStyle w:val="7"/>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7"/>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7"/>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7"/>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7"/>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7"/>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7"/>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5"/>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3"/>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4"/>
        <w:numPr>
          <w:ilvl w:val="0"/>
          <w:numId w:val="4"/>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原乳液车间尾气处理系统招标采购</w:t>
      </w:r>
    </w:p>
    <w:p w14:paraId="068DD082">
      <w:pPr>
        <w:pStyle w:val="54"/>
        <w:numPr>
          <w:ilvl w:val="0"/>
          <w:numId w:val="4"/>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乳液车间尾气处理达标后排放</w:t>
      </w:r>
    </w:p>
    <w:p w14:paraId="733EAAD0">
      <w:pPr>
        <w:pStyle w:val="54"/>
        <w:numPr>
          <w:ilvl w:val="0"/>
          <w:numId w:val="0"/>
        </w:numPr>
        <w:ind w:leftChars="0"/>
        <w:rPr>
          <w:rFonts w:hint="eastAsia"/>
          <w:color w:val="auto"/>
          <w:sz w:val="24"/>
          <w:szCs w:val="24"/>
        </w:rPr>
      </w:pPr>
      <w:r>
        <w:rPr>
          <w:rFonts w:hint="eastAsia"/>
          <w:color w:val="auto"/>
          <w:sz w:val="24"/>
          <w:szCs w:val="24"/>
          <w:lang w:val="en-US" w:eastAsia="zh-CN"/>
        </w:rPr>
        <w:t>相关</w:t>
      </w:r>
      <w:r>
        <w:rPr>
          <w:rFonts w:hint="eastAsia"/>
          <w:color w:val="auto"/>
          <w:sz w:val="24"/>
          <w:szCs w:val="24"/>
        </w:rPr>
        <w:t>标准：DB34/4812.3-2024</w:t>
      </w:r>
      <w:r>
        <w:rPr>
          <w:rFonts w:hint="eastAsia"/>
          <w:color w:val="auto"/>
          <w:sz w:val="24"/>
          <w:szCs w:val="24"/>
          <w:lang w:val="en-US" w:eastAsia="zh-CN"/>
        </w:rPr>
        <w:t xml:space="preserve"> </w:t>
      </w:r>
      <w:r>
        <w:rPr>
          <w:rFonts w:hint="eastAsia"/>
          <w:color w:val="auto"/>
          <w:sz w:val="24"/>
          <w:szCs w:val="24"/>
        </w:rPr>
        <w:t>《固定源挥发性有机物综合排放标准 第3部分：有机化学品制造工业》</w:t>
      </w:r>
    </w:p>
    <w:p w14:paraId="1CF2D6B9">
      <w:pPr>
        <w:pStyle w:val="17"/>
        <w:rPr>
          <w:rFonts w:hint="eastAsia"/>
          <w:color w:val="auto"/>
          <w:sz w:val="24"/>
          <w:szCs w:val="24"/>
        </w:rPr>
      </w:pPr>
      <w:r>
        <w:rPr>
          <w:rFonts w:hint="eastAsia"/>
          <w:color w:val="auto"/>
          <w:sz w:val="24"/>
          <w:szCs w:val="24"/>
        </w:rPr>
        <w:t>GB</w:t>
      </w:r>
      <w:r>
        <w:rPr>
          <w:rFonts w:hint="eastAsia"/>
          <w:color w:val="auto"/>
          <w:sz w:val="24"/>
          <w:szCs w:val="24"/>
          <w:lang w:val="en-US" w:eastAsia="zh-CN"/>
        </w:rPr>
        <w:t xml:space="preserve">/T </w:t>
      </w:r>
      <w:r>
        <w:rPr>
          <w:rFonts w:hint="eastAsia"/>
          <w:color w:val="auto"/>
          <w:sz w:val="24"/>
          <w:szCs w:val="24"/>
        </w:rPr>
        <w:t>31571-2015</w:t>
      </w:r>
      <w:r>
        <w:rPr>
          <w:rFonts w:hint="eastAsia"/>
          <w:color w:val="auto"/>
          <w:sz w:val="24"/>
          <w:szCs w:val="24"/>
          <w:lang w:val="en-US" w:eastAsia="zh-CN"/>
        </w:rPr>
        <w:t xml:space="preserve">   </w:t>
      </w:r>
      <w:r>
        <w:rPr>
          <w:rFonts w:hint="eastAsia"/>
          <w:color w:val="auto"/>
          <w:sz w:val="24"/>
          <w:szCs w:val="24"/>
        </w:rPr>
        <w:t>《石油化学工业污染物排放标准》</w:t>
      </w:r>
    </w:p>
    <w:p w14:paraId="53E250D5">
      <w:pPr>
        <w:pStyle w:val="17"/>
        <w:rPr>
          <w:rFonts w:hint="eastAsia"/>
          <w:color w:val="auto"/>
          <w:sz w:val="24"/>
          <w:szCs w:val="24"/>
        </w:rPr>
      </w:pPr>
      <w:r>
        <w:rPr>
          <w:rFonts w:hint="eastAsia"/>
          <w:color w:val="auto"/>
          <w:sz w:val="24"/>
          <w:szCs w:val="24"/>
        </w:rPr>
        <w:t>GB</w:t>
      </w:r>
      <w:r>
        <w:rPr>
          <w:rFonts w:hint="eastAsia"/>
          <w:color w:val="auto"/>
          <w:sz w:val="24"/>
          <w:szCs w:val="24"/>
          <w:lang w:val="en-US" w:eastAsia="zh-CN"/>
        </w:rPr>
        <w:t xml:space="preserve">/T </w:t>
      </w:r>
      <w:r>
        <w:rPr>
          <w:rFonts w:hint="eastAsia"/>
          <w:color w:val="auto"/>
          <w:sz w:val="24"/>
          <w:szCs w:val="24"/>
        </w:rPr>
        <w:t>14554-</w:t>
      </w:r>
      <w:r>
        <w:rPr>
          <w:rFonts w:hint="eastAsia"/>
          <w:color w:val="auto"/>
          <w:sz w:val="24"/>
          <w:szCs w:val="24"/>
          <w:lang w:val="en-US" w:eastAsia="zh-CN"/>
        </w:rPr>
        <w:t>19</w:t>
      </w:r>
      <w:r>
        <w:rPr>
          <w:rFonts w:hint="eastAsia"/>
          <w:color w:val="auto"/>
          <w:sz w:val="24"/>
          <w:szCs w:val="24"/>
        </w:rPr>
        <w:t>93</w:t>
      </w:r>
      <w:r>
        <w:rPr>
          <w:rFonts w:hint="eastAsia"/>
          <w:color w:val="auto"/>
          <w:sz w:val="24"/>
          <w:szCs w:val="24"/>
          <w:lang w:val="en-US" w:eastAsia="zh-CN"/>
        </w:rPr>
        <w:t xml:space="preserve">   </w:t>
      </w:r>
      <w:r>
        <w:rPr>
          <w:rFonts w:hint="eastAsia"/>
          <w:color w:val="auto"/>
          <w:sz w:val="24"/>
          <w:szCs w:val="24"/>
        </w:rPr>
        <w:t>《恶臭污染物排放标准》</w:t>
      </w:r>
    </w:p>
    <w:p w14:paraId="21AA6493">
      <w:pPr>
        <w:pStyle w:val="17"/>
        <w:rPr>
          <w:rFonts w:hint="eastAsia" w:ascii="宋体" w:eastAsia="宋体"/>
          <w:color w:val="auto"/>
          <w:sz w:val="24"/>
          <w:szCs w:val="24"/>
        </w:rPr>
      </w:pPr>
      <w:r>
        <w:rPr>
          <w:rFonts w:hint="eastAsia" w:ascii="宋体" w:eastAsia="宋体"/>
          <w:color w:val="auto"/>
          <w:sz w:val="24"/>
          <w:szCs w:val="24"/>
        </w:rPr>
        <w:t>GB/T</w:t>
      </w:r>
      <w:r>
        <w:rPr>
          <w:rFonts w:hint="eastAsia" w:ascii="宋体" w:eastAsia="宋体"/>
          <w:color w:val="auto"/>
          <w:sz w:val="24"/>
          <w:szCs w:val="24"/>
          <w:lang w:val="en-US" w:eastAsia="zh-CN"/>
        </w:rPr>
        <w:t xml:space="preserve"> </w:t>
      </w:r>
      <w:r>
        <w:rPr>
          <w:rFonts w:hint="eastAsia" w:ascii="宋体" w:eastAsia="宋体"/>
          <w:color w:val="auto"/>
          <w:sz w:val="24"/>
          <w:szCs w:val="24"/>
        </w:rPr>
        <w:t>18475-2001</w:t>
      </w:r>
      <w:r>
        <w:rPr>
          <w:rFonts w:hint="eastAsia" w:ascii="宋体" w:eastAsia="宋体"/>
          <w:color w:val="auto"/>
          <w:sz w:val="24"/>
          <w:szCs w:val="24"/>
          <w:lang w:val="en-US" w:eastAsia="zh-CN"/>
        </w:rPr>
        <w:t xml:space="preserve">   </w:t>
      </w:r>
      <w:r>
        <w:rPr>
          <w:rFonts w:hint="eastAsia" w:ascii="宋体" w:eastAsia="宋体"/>
          <w:color w:val="auto"/>
          <w:sz w:val="24"/>
          <w:szCs w:val="24"/>
        </w:rPr>
        <w:t>《离心风机技术条件》</w:t>
      </w:r>
    </w:p>
    <w:p w14:paraId="4069E063">
      <w:pPr>
        <w:pStyle w:val="17"/>
        <w:rPr>
          <w:rFonts w:hint="default"/>
          <w:color w:val="auto"/>
          <w:sz w:val="24"/>
          <w:szCs w:val="24"/>
        </w:rPr>
      </w:pPr>
      <w:r>
        <w:rPr>
          <w:rFonts w:hint="eastAsia"/>
          <w:color w:val="auto"/>
          <w:sz w:val="24"/>
          <w:szCs w:val="24"/>
        </w:rPr>
        <w:t>GB/T 3215-2019</w:t>
      </w:r>
      <w:r>
        <w:rPr>
          <w:rFonts w:hint="eastAsia"/>
          <w:color w:val="auto"/>
          <w:sz w:val="24"/>
          <w:szCs w:val="24"/>
          <w:lang w:val="en-US" w:eastAsia="zh-CN"/>
        </w:rPr>
        <w:t xml:space="preserve">    </w:t>
      </w:r>
      <w:r>
        <w:rPr>
          <w:rFonts w:hint="default"/>
          <w:color w:val="auto"/>
          <w:sz w:val="24"/>
          <w:szCs w:val="24"/>
        </w:rPr>
        <w:t>《石油、重化学和天然气工业用离心泵》</w:t>
      </w:r>
    </w:p>
    <w:p w14:paraId="18DDA2A7">
      <w:pPr>
        <w:pStyle w:val="17"/>
        <w:rPr>
          <w:rFonts w:hint="default"/>
          <w:color w:val="auto"/>
          <w:sz w:val="24"/>
          <w:szCs w:val="24"/>
        </w:rPr>
      </w:pPr>
      <w:r>
        <w:rPr>
          <w:rFonts w:hint="eastAsia"/>
          <w:color w:val="auto"/>
          <w:sz w:val="24"/>
          <w:szCs w:val="24"/>
          <w:lang w:val="en-US" w:eastAsia="zh-CN"/>
        </w:rPr>
        <w:t xml:space="preserve">NB/T 47003-2009   </w:t>
      </w:r>
      <w:r>
        <w:rPr>
          <w:rFonts w:hint="default"/>
          <w:color w:val="auto"/>
          <w:sz w:val="24"/>
          <w:szCs w:val="24"/>
        </w:rPr>
        <w:t>《</w:t>
      </w:r>
      <w:r>
        <w:rPr>
          <w:rFonts w:hint="eastAsia"/>
          <w:color w:val="auto"/>
          <w:sz w:val="24"/>
          <w:szCs w:val="24"/>
          <w:lang w:val="en-US" w:eastAsia="zh-CN"/>
        </w:rPr>
        <w:t>钢制焊接常压容器</w:t>
      </w:r>
      <w:r>
        <w:rPr>
          <w:rFonts w:hint="default"/>
          <w:color w:val="auto"/>
          <w:sz w:val="24"/>
          <w:szCs w:val="24"/>
        </w:rPr>
        <w:t>》</w:t>
      </w:r>
    </w:p>
    <w:p w14:paraId="44ED56DE">
      <w:pPr>
        <w:pStyle w:val="17"/>
        <w:rPr>
          <w:rFonts w:hint="eastAsia"/>
          <w:color w:val="auto"/>
          <w:sz w:val="24"/>
          <w:szCs w:val="24"/>
          <w:lang w:val="en-US" w:eastAsia="zh-CN"/>
        </w:rPr>
      </w:pPr>
      <w:r>
        <w:rPr>
          <w:rFonts w:hint="eastAsia"/>
          <w:color w:val="auto"/>
          <w:sz w:val="24"/>
          <w:szCs w:val="24"/>
          <w:lang w:val="en-US" w:eastAsia="zh-CN"/>
        </w:rPr>
        <w:t>HJ 1405-2024      《排污单位污染物排放口监测点位设置技术规范》</w:t>
      </w:r>
    </w:p>
    <w:p w14:paraId="7C84483D">
      <w:pPr>
        <w:pStyle w:val="17"/>
        <w:rPr>
          <w:rFonts w:hint="eastAsia"/>
          <w:color w:val="auto"/>
          <w:sz w:val="24"/>
          <w:szCs w:val="24"/>
          <w:lang w:val="en-US" w:eastAsia="zh-CN"/>
        </w:rPr>
      </w:pPr>
      <w:r>
        <w:rPr>
          <w:rFonts w:hint="eastAsia"/>
          <w:color w:val="auto"/>
          <w:sz w:val="24"/>
          <w:szCs w:val="24"/>
          <w:lang w:val="en-US" w:eastAsia="zh-CN"/>
        </w:rPr>
        <w:t>GB 4053-2025      《固定式金属梯及平台安全要求》</w:t>
      </w:r>
    </w:p>
    <w:p w14:paraId="4EA3B617">
      <w:pPr>
        <w:pStyle w:val="17"/>
        <w:rPr>
          <w:rFonts w:hint="default"/>
          <w:color w:val="auto"/>
          <w:sz w:val="24"/>
          <w:szCs w:val="24"/>
          <w:lang w:val="en-US" w:eastAsia="zh-CN"/>
        </w:rPr>
      </w:pPr>
      <w:r>
        <w:rPr>
          <w:rFonts w:hint="eastAsia"/>
          <w:color w:val="auto"/>
          <w:sz w:val="24"/>
          <w:szCs w:val="24"/>
          <w:lang w:val="en-US" w:eastAsia="zh-CN"/>
        </w:rPr>
        <w:t>GB/T 3836-2021    《爆炸性环境》</w:t>
      </w:r>
    </w:p>
    <w:p w14:paraId="634E0AD5">
      <w:pPr>
        <w:pStyle w:val="54"/>
        <w:numPr>
          <w:ilvl w:val="0"/>
          <w:numId w:val="0"/>
        </w:numPr>
        <w:rPr>
          <w:rFonts w:hint="eastAsia"/>
          <w:color w:val="auto"/>
          <w:sz w:val="24"/>
          <w:szCs w:val="24"/>
        </w:rPr>
      </w:pPr>
      <w:r>
        <w:rPr>
          <w:rFonts w:hint="eastAsia"/>
          <w:color w:val="auto"/>
          <w:sz w:val="24"/>
          <w:szCs w:val="24"/>
        </w:rPr>
        <w:t>其它相关技术标准。</w:t>
      </w:r>
    </w:p>
    <w:p w14:paraId="2AF6C59D">
      <w:pPr>
        <w:pStyle w:val="54"/>
        <w:numPr>
          <w:ilvl w:val="0"/>
          <w:numId w:val="0"/>
        </w:numPr>
        <w:rPr>
          <w:rFonts w:hint="eastAsia"/>
          <w:color w:val="auto"/>
          <w:sz w:val="24"/>
          <w:szCs w:val="24"/>
          <w:lang w:val="en-US" w:eastAsia="zh-CN"/>
        </w:rPr>
      </w:pPr>
      <w:r>
        <w:rPr>
          <w:rFonts w:hint="eastAsia"/>
          <w:color w:val="auto"/>
          <w:sz w:val="24"/>
          <w:szCs w:val="24"/>
        </w:rPr>
        <w:t>备注：若标准已更新，依据最新版本的</w:t>
      </w:r>
      <w:r>
        <w:rPr>
          <w:rFonts w:hint="eastAsia"/>
          <w:color w:val="auto"/>
          <w:sz w:val="24"/>
          <w:szCs w:val="24"/>
          <w:lang w:eastAsia="zh-CN"/>
        </w:rPr>
        <w:t>；</w:t>
      </w:r>
      <w:r>
        <w:rPr>
          <w:rFonts w:hint="eastAsia"/>
          <w:color w:val="auto"/>
          <w:sz w:val="24"/>
          <w:szCs w:val="24"/>
          <w:lang w:val="en-US" w:eastAsia="zh-CN"/>
        </w:rPr>
        <w:t>未列出项应严格按照国家、行业按相关规范、标准执行。</w:t>
      </w:r>
    </w:p>
    <w:p w14:paraId="34A6AF96">
      <w:pPr>
        <w:pStyle w:val="54"/>
        <w:numPr>
          <w:ilvl w:val="0"/>
          <w:numId w:val="4"/>
        </w:numPr>
        <w:ind w:left="426" w:hanging="426" w:firstLineChars="0"/>
        <w:rPr>
          <w:rFonts w:hint="default"/>
          <w:color w:val="auto"/>
          <w:sz w:val="24"/>
          <w:szCs w:val="24"/>
          <w:lang w:val="en-US" w:eastAsia="zh-CN"/>
        </w:rPr>
      </w:pPr>
      <w:r>
        <w:rPr>
          <w:rFonts w:hint="eastAsia"/>
          <w:color w:val="auto"/>
          <w:sz w:val="24"/>
          <w:szCs w:val="24"/>
        </w:rPr>
        <w:t>数量：</w:t>
      </w:r>
      <w:r>
        <w:rPr>
          <w:rFonts w:hint="eastAsia"/>
          <w:color w:val="auto"/>
          <w:sz w:val="24"/>
          <w:szCs w:val="24"/>
          <w:lang w:val="en-US" w:eastAsia="zh-CN"/>
        </w:rPr>
        <w:t>原乳液车间尾气处理系统共1套</w:t>
      </w:r>
      <w:r>
        <w:rPr>
          <w:rFonts w:hint="eastAsia"/>
          <w:color w:val="auto"/>
          <w:sz w:val="24"/>
          <w:szCs w:val="24"/>
        </w:rPr>
        <w:t>。</w:t>
      </w:r>
    </w:p>
    <w:p w14:paraId="64D6EB5E">
      <w:pPr>
        <w:pStyle w:val="54"/>
        <w:numPr>
          <w:ilvl w:val="0"/>
          <w:numId w:val="4"/>
        </w:numPr>
        <w:ind w:left="426" w:hanging="426" w:firstLineChars="0"/>
        <w:rPr>
          <w:color w:val="auto"/>
          <w:sz w:val="24"/>
          <w:szCs w:val="24"/>
        </w:rPr>
      </w:pPr>
      <w:r>
        <w:rPr>
          <w:rFonts w:hint="eastAsia"/>
          <w:color w:val="auto"/>
          <w:sz w:val="24"/>
          <w:szCs w:val="24"/>
        </w:rPr>
        <w:t>技术条件和要求：</w:t>
      </w:r>
    </w:p>
    <w:p w14:paraId="2410592E">
      <w:pPr>
        <w:pStyle w:val="54"/>
        <w:numPr>
          <w:ilvl w:val="0"/>
          <w:numId w:val="5"/>
        </w:numPr>
        <w:ind w:firstLineChars="0"/>
        <w:rPr>
          <w:color w:val="auto"/>
          <w:sz w:val="24"/>
          <w:szCs w:val="24"/>
        </w:rPr>
      </w:pPr>
      <w:r>
        <w:rPr>
          <w:rFonts w:hint="eastAsia"/>
          <w:color w:val="auto"/>
          <w:sz w:val="24"/>
          <w:szCs w:val="24"/>
          <w:lang w:eastAsia="zh-CN"/>
        </w:rPr>
        <w:t>原乳液车间尾气处理系统</w:t>
      </w:r>
      <w:r>
        <w:rPr>
          <w:rFonts w:hint="eastAsia"/>
          <w:color w:val="auto"/>
          <w:sz w:val="24"/>
          <w:szCs w:val="24"/>
          <w:lang w:val="en-US" w:eastAsia="zh-CN"/>
        </w:rPr>
        <w:t>处理能力符合</w:t>
      </w:r>
      <w:r>
        <w:rPr>
          <w:rFonts w:hint="eastAsia"/>
          <w:color w:val="auto"/>
          <w:sz w:val="24"/>
          <w:szCs w:val="24"/>
        </w:rPr>
        <w:t>甲方要求；</w:t>
      </w:r>
    </w:p>
    <w:p w14:paraId="1BAD72BF">
      <w:pPr>
        <w:pStyle w:val="54"/>
        <w:numPr>
          <w:ilvl w:val="0"/>
          <w:numId w:val="5"/>
        </w:numPr>
        <w:ind w:firstLineChars="0"/>
        <w:rPr>
          <w:color w:val="auto"/>
          <w:sz w:val="24"/>
          <w:szCs w:val="24"/>
        </w:rPr>
      </w:pPr>
      <w:r>
        <w:rPr>
          <w:rFonts w:hint="eastAsia"/>
          <w:color w:val="auto"/>
          <w:sz w:val="24"/>
          <w:szCs w:val="24"/>
          <w:lang w:val="en-US" w:eastAsia="zh-CN"/>
        </w:rPr>
        <w:t>废气排放符合环保要求，达到国家排放标准（详见：附表一）；</w:t>
      </w:r>
    </w:p>
    <w:p w14:paraId="35F67AA7">
      <w:pPr>
        <w:pStyle w:val="54"/>
        <w:numPr>
          <w:ilvl w:val="0"/>
          <w:numId w:val="5"/>
        </w:numPr>
        <w:ind w:firstLineChars="0"/>
        <w:rPr>
          <w:color w:val="auto"/>
          <w:sz w:val="24"/>
          <w:szCs w:val="24"/>
        </w:rPr>
      </w:pPr>
      <w:r>
        <w:rPr>
          <w:rFonts w:hint="eastAsia"/>
          <w:color w:val="auto"/>
          <w:sz w:val="24"/>
          <w:szCs w:val="24"/>
        </w:rPr>
        <w:t>电源：</w:t>
      </w:r>
      <w:r>
        <w:rPr>
          <w:rFonts w:hint="eastAsia"/>
          <w:color w:val="auto"/>
          <w:sz w:val="24"/>
          <w:szCs w:val="24"/>
          <w:lang w:val="en-US" w:eastAsia="zh-CN"/>
        </w:rPr>
        <w:t>AC</w:t>
      </w:r>
      <w:r>
        <w:rPr>
          <w:rFonts w:hint="eastAsia"/>
          <w:color w:val="auto"/>
          <w:sz w:val="24"/>
          <w:szCs w:val="24"/>
        </w:rPr>
        <w:t>380</w:t>
      </w:r>
      <w:r>
        <w:rPr>
          <w:rFonts w:hint="eastAsia"/>
          <w:color w:val="auto"/>
          <w:sz w:val="24"/>
          <w:szCs w:val="24"/>
          <w:lang w:val="en-US" w:eastAsia="zh-CN"/>
        </w:rPr>
        <w:t>/220</w:t>
      </w:r>
      <w:r>
        <w:rPr>
          <w:rFonts w:hint="eastAsia"/>
          <w:color w:val="auto"/>
          <w:sz w:val="24"/>
          <w:szCs w:val="24"/>
        </w:rPr>
        <w:t>V/50HZ；</w:t>
      </w:r>
    </w:p>
    <w:p w14:paraId="25E7A931">
      <w:pPr>
        <w:pStyle w:val="54"/>
        <w:numPr>
          <w:ilvl w:val="0"/>
          <w:numId w:val="5"/>
        </w:numPr>
        <w:ind w:firstLineChars="0"/>
        <w:rPr>
          <w:color w:val="auto"/>
          <w:sz w:val="24"/>
          <w:szCs w:val="24"/>
        </w:rPr>
      </w:pPr>
      <w:r>
        <w:rPr>
          <w:rFonts w:hint="eastAsia"/>
          <w:color w:val="auto"/>
          <w:sz w:val="24"/>
          <w:szCs w:val="24"/>
          <w:lang w:val="en-US" w:eastAsia="zh-CN"/>
        </w:rPr>
        <w:t>系统</w:t>
      </w:r>
      <w:r>
        <w:rPr>
          <w:rFonts w:hint="eastAsia"/>
          <w:color w:val="auto"/>
          <w:sz w:val="24"/>
          <w:szCs w:val="24"/>
        </w:rPr>
        <w:t>需要采用Profinet通讯协议</w:t>
      </w:r>
      <w:r>
        <w:rPr>
          <w:rFonts w:hint="eastAsia"/>
          <w:color w:val="auto"/>
          <w:sz w:val="24"/>
          <w:szCs w:val="24"/>
          <w:lang w:eastAsia="zh-CN"/>
        </w:rPr>
        <w:t>，</w:t>
      </w:r>
      <w:r>
        <w:rPr>
          <w:rFonts w:hint="eastAsia"/>
          <w:color w:val="auto"/>
          <w:sz w:val="24"/>
          <w:szCs w:val="24"/>
          <w:lang w:val="en-US" w:eastAsia="zh-CN"/>
        </w:rPr>
        <w:t>可与甲方DCS通讯并由DCS控制</w:t>
      </w:r>
      <w:r>
        <w:rPr>
          <w:rFonts w:hint="eastAsia"/>
          <w:color w:val="auto"/>
          <w:sz w:val="24"/>
          <w:szCs w:val="24"/>
          <w:lang w:eastAsia="zh-CN"/>
        </w:rPr>
        <w:t>；</w:t>
      </w:r>
      <w:r>
        <w:rPr>
          <w:rFonts w:hint="eastAsia"/>
          <w:color w:val="auto"/>
          <w:sz w:val="24"/>
          <w:szCs w:val="24"/>
        </w:rPr>
        <w:t xml:space="preserve"> </w:t>
      </w:r>
    </w:p>
    <w:p w14:paraId="238375E3">
      <w:pPr>
        <w:pStyle w:val="54"/>
        <w:numPr>
          <w:ilvl w:val="0"/>
          <w:numId w:val="5"/>
        </w:numPr>
        <w:ind w:firstLineChars="0"/>
        <w:rPr>
          <w:color w:val="auto"/>
          <w:sz w:val="24"/>
          <w:szCs w:val="24"/>
        </w:rPr>
      </w:pPr>
      <w:r>
        <w:rPr>
          <w:rFonts w:hint="eastAsia"/>
          <w:color w:val="auto"/>
          <w:sz w:val="24"/>
          <w:szCs w:val="24"/>
        </w:rPr>
        <w:t>电机均采用选用二级</w:t>
      </w:r>
      <w:r>
        <w:rPr>
          <w:rFonts w:hint="eastAsia"/>
          <w:color w:val="auto"/>
          <w:sz w:val="24"/>
          <w:szCs w:val="24"/>
          <w:lang w:val="en-US" w:eastAsia="zh-CN"/>
        </w:rPr>
        <w:t>能效及</w:t>
      </w:r>
      <w:r>
        <w:rPr>
          <w:rFonts w:hint="eastAsia"/>
          <w:color w:val="auto"/>
          <w:sz w:val="24"/>
          <w:szCs w:val="24"/>
        </w:rPr>
        <w:t>以上；</w:t>
      </w:r>
    </w:p>
    <w:p w14:paraId="67B030BD">
      <w:pPr>
        <w:pStyle w:val="54"/>
        <w:numPr>
          <w:ilvl w:val="0"/>
          <w:numId w:val="5"/>
        </w:numPr>
        <w:ind w:firstLineChars="0"/>
        <w:rPr>
          <w:color w:val="auto"/>
          <w:sz w:val="24"/>
          <w:szCs w:val="24"/>
        </w:rPr>
      </w:pPr>
      <w:r>
        <w:rPr>
          <w:rFonts w:hint="eastAsia"/>
          <w:color w:val="auto"/>
          <w:sz w:val="24"/>
          <w:szCs w:val="24"/>
          <w:lang w:val="en-US" w:eastAsia="zh-CN"/>
        </w:rPr>
        <w:t>防爆电机电气接口采用M螺纹；</w:t>
      </w:r>
    </w:p>
    <w:p w14:paraId="11791B32">
      <w:pPr>
        <w:pStyle w:val="54"/>
        <w:numPr>
          <w:ilvl w:val="0"/>
          <w:numId w:val="5"/>
        </w:numPr>
        <w:ind w:left="851" w:hanging="851" w:firstLineChars="0"/>
        <w:rPr>
          <w:color w:val="auto"/>
          <w:sz w:val="24"/>
          <w:szCs w:val="24"/>
        </w:rPr>
      </w:pPr>
      <w:r>
        <w:rPr>
          <w:rFonts w:hint="eastAsia"/>
          <w:color w:val="auto"/>
          <w:sz w:val="24"/>
          <w:szCs w:val="24"/>
        </w:rPr>
        <w:t>对未尽事项，必须由双方协商确认。</w:t>
      </w:r>
    </w:p>
    <w:p w14:paraId="6D79CD3C">
      <w:pPr>
        <w:pStyle w:val="54"/>
        <w:numPr>
          <w:ilvl w:val="0"/>
          <w:numId w:val="4"/>
        </w:numPr>
        <w:ind w:left="426" w:hanging="426" w:firstLineChars="0"/>
        <w:rPr>
          <w:color w:val="auto"/>
          <w:sz w:val="24"/>
          <w:szCs w:val="24"/>
        </w:rPr>
      </w:pPr>
      <w:r>
        <w:rPr>
          <w:rFonts w:hint="eastAsia"/>
          <w:color w:val="auto"/>
          <w:sz w:val="24"/>
          <w:szCs w:val="24"/>
        </w:rPr>
        <w:t>主要配套设施清单：</w:t>
      </w:r>
    </w:p>
    <w:tbl>
      <w:tblPr>
        <w:tblStyle w:val="28"/>
        <w:tblW w:w="7962" w:type="dxa"/>
        <w:tblInd w:w="113" w:type="dxa"/>
        <w:tblLayout w:type="fixed"/>
        <w:tblCellMar>
          <w:top w:w="0" w:type="dxa"/>
          <w:left w:w="108" w:type="dxa"/>
          <w:bottom w:w="0" w:type="dxa"/>
          <w:right w:w="108" w:type="dxa"/>
        </w:tblCellMar>
      </w:tblPr>
      <w:tblGrid>
        <w:gridCol w:w="682"/>
        <w:gridCol w:w="1811"/>
        <w:gridCol w:w="2626"/>
        <w:gridCol w:w="2843"/>
      </w:tblGrid>
      <w:tr w14:paraId="6B987C01">
        <w:tblPrEx>
          <w:tblCellMar>
            <w:top w:w="0" w:type="dxa"/>
            <w:left w:w="108" w:type="dxa"/>
            <w:bottom w:w="0" w:type="dxa"/>
            <w:right w:w="108" w:type="dxa"/>
          </w:tblCellMar>
        </w:tblPrEx>
        <w:trPr>
          <w:trHeight w:val="45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C3786C">
            <w:pPr>
              <w:widowControl/>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09EFAA5E">
            <w:pPr>
              <w:widowControl/>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4A67979D">
            <w:pPr>
              <w:widowControl/>
              <w:jc w:val="center"/>
              <w:rPr>
                <w:rFonts w:hint="eastAsia" w:ascii="宋体" w:hAnsi="宋体" w:cs="宋体"/>
                <w:color w:val="auto"/>
                <w:kern w:val="0"/>
                <w:szCs w:val="21"/>
              </w:rPr>
            </w:pPr>
            <w:r>
              <w:rPr>
                <w:rFonts w:hint="eastAsia" w:ascii="宋体" w:hAnsi="宋体" w:cs="宋体"/>
                <w:color w:val="auto"/>
                <w:kern w:val="0"/>
                <w:szCs w:val="21"/>
              </w:rPr>
              <w:t>参数及要求</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330361C">
            <w:pPr>
              <w:widowControl/>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1B82523">
        <w:tblPrEx>
          <w:tblCellMar>
            <w:top w:w="0" w:type="dxa"/>
            <w:left w:w="108" w:type="dxa"/>
            <w:bottom w:w="0" w:type="dxa"/>
            <w:right w:w="108" w:type="dxa"/>
          </w:tblCellMar>
        </w:tblPrEx>
        <w:trPr>
          <w:trHeight w:val="541"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DA162B">
            <w:pPr>
              <w:widowControl/>
              <w:jc w:val="center"/>
              <w:rPr>
                <w:rFonts w:hint="eastAsia" w:ascii="宋体" w:hAnsi="宋体" w:cs="宋体"/>
                <w:color w:val="auto"/>
                <w:kern w:val="0"/>
                <w:szCs w:val="21"/>
              </w:rPr>
            </w:pPr>
            <w:r>
              <w:rPr>
                <w:rFonts w:hint="eastAsia" w:ascii="宋体" w:hAnsi="宋体" w:cs="宋体"/>
                <w:color w:val="auto"/>
                <w:kern w:val="0"/>
                <w:szCs w:val="21"/>
              </w:rPr>
              <w:t>1</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70915E70">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一级水吸收塔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35312A0F">
            <w:pP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处理能力：5400m3/h</w:t>
            </w:r>
          </w:p>
          <w:p w14:paraId="08E0AA5C">
            <w:pPr>
              <w:widowControl/>
              <w:jc w:val="left"/>
              <w:rPr>
                <w:rFonts w:hint="default"/>
                <w:color w:val="auto"/>
                <w:lang w:val="en-US" w:eastAsia="zh-CN"/>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3A27536C">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66A8869A">
        <w:tblPrEx>
          <w:tblCellMar>
            <w:top w:w="0" w:type="dxa"/>
            <w:left w:w="108" w:type="dxa"/>
            <w:bottom w:w="0" w:type="dxa"/>
            <w:right w:w="108" w:type="dxa"/>
          </w:tblCellMar>
        </w:tblPrEx>
        <w:trPr>
          <w:trHeight w:val="541"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8826D5">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Cs w:val="21"/>
                <w:lang w:val="en-US" w:eastAsia="zh-CN"/>
              </w:rPr>
              <w:t>2</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52D29994">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二级水吸收塔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754D68DB">
            <w:pP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处理能力：5400m3/h</w:t>
            </w:r>
          </w:p>
          <w:p w14:paraId="30312589">
            <w:pPr>
              <w:widowControl/>
              <w:jc w:val="left"/>
              <w:rPr>
                <w:rFonts w:hint="default" w:asciiTheme="minorHAnsi" w:hAnsiTheme="minorHAnsi" w:eastAsiaTheme="minorEastAsia" w:cstheme="minorBidi"/>
                <w:color w:val="auto"/>
                <w:kern w:val="2"/>
                <w:sz w:val="21"/>
                <w:szCs w:val="22"/>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2E401ED">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3DC64241">
        <w:tblPrEx>
          <w:tblCellMar>
            <w:top w:w="0" w:type="dxa"/>
            <w:left w:w="108" w:type="dxa"/>
            <w:bottom w:w="0" w:type="dxa"/>
            <w:right w:w="108" w:type="dxa"/>
          </w:tblCellMar>
        </w:tblPrEx>
        <w:trPr>
          <w:trHeight w:val="49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756D74">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3</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13F4EEC2">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一级活性炭吸附塔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3563885">
            <w:pP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处理能力：5400m3/h</w:t>
            </w:r>
          </w:p>
          <w:p w14:paraId="3B0EEA23">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材质：SS304，含爆破片及消防喷淋</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3F305F56">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0E822FA4">
        <w:tblPrEx>
          <w:tblCellMar>
            <w:top w:w="0" w:type="dxa"/>
            <w:left w:w="108" w:type="dxa"/>
            <w:bottom w:w="0" w:type="dxa"/>
            <w:right w:w="108" w:type="dxa"/>
          </w:tblCellMar>
        </w:tblPrEx>
        <w:trPr>
          <w:trHeight w:val="49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E8938C">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4</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6A715D30">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二级活性炭吸附</w:t>
            </w:r>
            <w:r>
              <w:rPr>
                <w:rFonts w:hint="eastAsia" w:ascii="宋体" w:hAnsi="宋体" w:eastAsia="宋体" w:cs="宋体"/>
                <w:color w:val="auto"/>
                <w:kern w:val="0"/>
                <w:szCs w:val="21"/>
                <w:lang w:val="en-US" w:eastAsia="zh-CN"/>
              </w:rPr>
              <w:t>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1EBA09D">
            <w:pP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处理能力：5400m3/h</w:t>
            </w:r>
          </w:p>
          <w:p w14:paraId="1DC9AFAF">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材质：SS304，含爆破片及消防喷淋</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471BBF2E">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536F56C7">
        <w:tblPrEx>
          <w:tblCellMar>
            <w:top w:w="0" w:type="dxa"/>
            <w:left w:w="108" w:type="dxa"/>
            <w:bottom w:w="0" w:type="dxa"/>
            <w:right w:w="108" w:type="dxa"/>
          </w:tblCellMar>
        </w:tblPrEx>
        <w:trPr>
          <w:trHeight w:val="53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A4AEAF">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5</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2596C2CA">
            <w:pPr>
              <w:widowControl/>
              <w:jc w:val="center"/>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循环泵</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4357FB6F">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w:t>
            </w:r>
          </w:p>
          <w:p w14:paraId="27BF0488">
            <w:pPr>
              <w:widowControl/>
              <w:jc w:val="left"/>
              <w:rPr>
                <w:rFonts w:hint="eastAsia" w:cs="宋体" w:asciiTheme="minorEastAsia" w:hAnsiTheme="minorEastAsia" w:eastAsiaTheme="minorEastAsia"/>
                <w:color w:val="auto"/>
                <w:kern w:val="0"/>
                <w:sz w:val="21"/>
                <w:szCs w:val="21"/>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2F7064F0">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品牌：上海凯泉</w:t>
            </w:r>
            <w:r>
              <w:rPr>
                <w:rFonts w:hint="eastAsia" w:ascii="宋体" w:hAnsi="宋体" w:cs="宋体"/>
                <w:color w:val="auto"/>
                <w:kern w:val="0"/>
                <w:szCs w:val="21"/>
                <w:lang w:eastAsia="zh-CN"/>
              </w:rPr>
              <w:t>、上海连成、</w:t>
            </w:r>
            <w:r>
              <w:rPr>
                <w:rFonts w:hint="eastAsia" w:ascii="宋体" w:hAnsi="宋体" w:cs="宋体"/>
                <w:color w:val="auto"/>
                <w:kern w:val="0"/>
                <w:szCs w:val="21"/>
                <w:lang w:val="en-US" w:eastAsia="zh-CN"/>
              </w:rPr>
              <w:t>南方泵业或等同</w:t>
            </w:r>
          </w:p>
        </w:tc>
      </w:tr>
      <w:tr w14:paraId="1C40D869">
        <w:tblPrEx>
          <w:tblCellMar>
            <w:top w:w="0" w:type="dxa"/>
            <w:left w:w="108" w:type="dxa"/>
            <w:bottom w:w="0" w:type="dxa"/>
            <w:right w:w="108" w:type="dxa"/>
          </w:tblCellMar>
        </w:tblPrEx>
        <w:trPr>
          <w:trHeight w:val="59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6A5795">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6</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11AEC107">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引风机</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78DBD2A">
            <w:pP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处理能力：5400m3/h</w:t>
            </w:r>
          </w:p>
          <w:p w14:paraId="6808D013">
            <w:pPr>
              <w:widowControl/>
              <w:jc w:val="left"/>
              <w:rPr>
                <w:rFonts w:hint="default" w:cs="宋体" w:asciiTheme="minorEastAsia" w:hAnsiTheme="minorEastAsia" w:eastAsiaTheme="minorEastAsia"/>
                <w:color w:val="auto"/>
                <w:kern w:val="0"/>
                <w:sz w:val="21"/>
                <w:szCs w:val="21"/>
                <w:lang w:val="en-US" w:eastAsia="zh-CN" w:bidi="ar-SA"/>
              </w:rPr>
            </w:pPr>
            <w:r>
              <w:rPr>
                <w:rFonts w:hint="eastAsia" w:ascii="宋体" w:hAnsi="宋体" w:cs="宋体"/>
                <w:color w:val="auto"/>
                <w:kern w:val="0"/>
                <w:szCs w:val="21"/>
                <w:lang w:val="en-US" w:eastAsia="zh-CN"/>
              </w:rPr>
              <w:t>材质：玻璃钢</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7F4BDBEC">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rPr>
              <w:t>品牌：昆山盛唐</w:t>
            </w:r>
            <w:r>
              <w:rPr>
                <w:rFonts w:hint="eastAsia" w:ascii="宋体" w:hAnsi="宋体" w:cs="宋体"/>
                <w:color w:val="auto"/>
                <w:kern w:val="0"/>
                <w:szCs w:val="21"/>
                <w:lang w:eastAsia="zh-CN"/>
              </w:rPr>
              <w:t>、南通大通宝富、安徽方哲环保</w:t>
            </w:r>
            <w:r>
              <w:rPr>
                <w:rFonts w:hint="eastAsia" w:ascii="宋体" w:hAnsi="宋体" w:cs="宋体"/>
                <w:color w:val="auto"/>
                <w:kern w:val="0"/>
                <w:szCs w:val="21"/>
                <w:lang w:val="en-US" w:eastAsia="zh-CN"/>
              </w:rPr>
              <w:t>或等同</w:t>
            </w:r>
          </w:p>
        </w:tc>
      </w:tr>
      <w:tr w14:paraId="4F18F21B">
        <w:tblPrEx>
          <w:tblCellMar>
            <w:top w:w="0" w:type="dxa"/>
            <w:left w:w="108" w:type="dxa"/>
            <w:bottom w:w="0" w:type="dxa"/>
            <w:right w:w="108" w:type="dxa"/>
          </w:tblCellMar>
        </w:tblPrEx>
        <w:trPr>
          <w:trHeight w:val="797"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4587A5">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7</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588746E8">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尾气塔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50C6ED0E">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w:t>
            </w:r>
            <w:r>
              <w:rPr>
                <w:rFonts w:hint="eastAsia" w:ascii="宋体" w:hAnsi="宋体" w:cs="宋体"/>
                <w:color w:val="auto"/>
                <w:kern w:val="0"/>
                <w:szCs w:val="21"/>
                <w:lang w:val="en-US" w:eastAsia="zh-CN"/>
              </w:rPr>
              <w:t>（配套支架）</w:t>
            </w:r>
          </w:p>
          <w:p w14:paraId="4DCE89C1">
            <w:pPr>
              <w:widowControl/>
              <w:jc w:val="left"/>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高度：30m，内径≥0.4m</w:t>
            </w:r>
          </w:p>
          <w:p w14:paraId="3DACC890">
            <w:pPr>
              <w:widowControl/>
              <w:jc w:val="left"/>
              <w:rPr>
                <w:rFonts w:hint="eastAsia" w:asciiTheme="minorHAnsi" w:hAnsiTheme="minorHAnsi" w:eastAsiaTheme="minorEastAsia" w:cstheme="minorBidi"/>
                <w:color w:val="auto"/>
                <w:kern w:val="2"/>
                <w:sz w:val="21"/>
                <w:szCs w:val="22"/>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656A9753">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厂家配套</w:t>
            </w:r>
          </w:p>
        </w:tc>
      </w:tr>
      <w:tr w14:paraId="4FE2763A">
        <w:tblPrEx>
          <w:tblCellMar>
            <w:top w:w="0" w:type="dxa"/>
            <w:left w:w="108" w:type="dxa"/>
            <w:bottom w:w="0" w:type="dxa"/>
            <w:right w:w="108" w:type="dxa"/>
          </w:tblCellMar>
        </w:tblPrEx>
        <w:trPr>
          <w:trHeight w:val="637"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766A44">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8</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22193605">
            <w:pPr>
              <w:widowControl/>
              <w:jc w:val="center"/>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系统内仪表</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615BEBDB">
            <w:pPr>
              <w:widowControl/>
              <w:jc w:val="left"/>
              <w:rPr>
                <w:rFonts w:hint="default" w:ascii="宋体" w:hAnsi="宋体" w:cs="宋体" w:eastAsiaTheme="minorEastAsia"/>
                <w:color w:val="auto"/>
                <w:kern w:val="0"/>
                <w:sz w:val="21"/>
                <w:szCs w:val="21"/>
                <w:lang w:val="en-US" w:eastAsia="zh-CN" w:bidi="ar-SA"/>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6506FF40">
            <w:pPr>
              <w:widowControl/>
              <w:jc w:val="left"/>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rPr>
              <w:t>品牌：浙江中控</w:t>
            </w:r>
            <w:r>
              <w:rPr>
                <w:rFonts w:hint="eastAsia" w:ascii="宋体" w:hAnsi="宋体" w:cs="宋体"/>
                <w:color w:val="auto"/>
                <w:kern w:val="0"/>
                <w:szCs w:val="21"/>
                <w:lang w:eastAsia="zh-CN"/>
              </w:rPr>
              <w:t>、重庆横河、上海威尔泰、安徽天康</w:t>
            </w:r>
            <w:r>
              <w:rPr>
                <w:rFonts w:hint="eastAsia" w:ascii="宋体" w:hAnsi="宋体" w:cs="宋体"/>
                <w:color w:val="auto"/>
                <w:kern w:val="0"/>
                <w:szCs w:val="21"/>
                <w:lang w:val="en-US" w:eastAsia="zh-CN"/>
              </w:rPr>
              <w:t>或等同</w:t>
            </w:r>
          </w:p>
        </w:tc>
      </w:tr>
      <w:tr w14:paraId="37C4CA32">
        <w:tblPrEx>
          <w:tblCellMar>
            <w:top w:w="0" w:type="dxa"/>
            <w:left w:w="108" w:type="dxa"/>
            <w:bottom w:w="0" w:type="dxa"/>
            <w:right w:w="108" w:type="dxa"/>
          </w:tblCellMar>
        </w:tblPrEx>
        <w:trPr>
          <w:trHeight w:val="648"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BAE85E">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9</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63714F23">
            <w:pPr>
              <w:widowControl/>
              <w:jc w:val="center"/>
              <w:rPr>
                <w:rFonts w:hint="default"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系统内管道、管件、螺栓螺母、垫片等</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57D86B46">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p w14:paraId="4ED89561">
            <w:pPr>
              <w:widowControl/>
              <w:jc w:val="left"/>
              <w:rPr>
                <w:rFonts w:hint="eastAsia" w:ascii="宋体" w:hAnsi="宋体" w:cs="宋体" w:eastAsiaTheme="minorEastAsia"/>
                <w:color w:val="auto"/>
                <w:kern w:val="2"/>
                <w:sz w:val="21"/>
                <w:szCs w:val="21"/>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1D01BBC">
            <w:pPr>
              <w:widowControl/>
              <w:jc w:val="left"/>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品牌：浙江久立</w:t>
            </w:r>
            <w:r>
              <w:rPr>
                <w:rFonts w:hint="eastAsia" w:ascii="宋体" w:hAnsi="宋体" w:cs="宋体"/>
                <w:color w:val="auto"/>
                <w:kern w:val="0"/>
                <w:szCs w:val="21"/>
                <w:lang w:eastAsia="zh-CN"/>
              </w:rPr>
              <w:t>、天津友发、山东中汇、河北海浩、傲森迪克</w:t>
            </w:r>
            <w:r>
              <w:rPr>
                <w:rFonts w:hint="eastAsia" w:ascii="宋体" w:hAnsi="宋体" w:cs="宋体"/>
                <w:color w:val="auto"/>
                <w:kern w:val="0"/>
                <w:szCs w:val="21"/>
              </w:rPr>
              <w:t>或等同</w:t>
            </w:r>
          </w:p>
        </w:tc>
      </w:tr>
      <w:tr w14:paraId="0192D212">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8DC445">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10</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40AF5851">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系统内阀门</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6E409724">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p w14:paraId="5A9E9864">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FEC9167">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品牌：上海良工</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唐工、苏州纽威或等同</w:t>
            </w:r>
          </w:p>
        </w:tc>
      </w:tr>
      <w:tr w14:paraId="18173FF0">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8327C8">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lang w:val="en-US" w:eastAsia="zh-CN"/>
              </w:rPr>
              <w:t>11</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4CF13781">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系统内电线电缆</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6D1FF8E">
            <w:pPr>
              <w:widowControl/>
              <w:jc w:val="left"/>
              <w:rPr>
                <w:rFonts w:hint="eastAsia" w:ascii="宋体" w:hAnsi="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F0E5360">
            <w:pPr>
              <w:widowControl/>
              <w:jc w:val="left"/>
              <w:rPr>
                <w:rFonts w:hint="eastAsia" w:ascii="宋体" w:hAnsi="宋体" w:cs="宋体"/>
                <w:color w:val="auto"/>
                <w:kern w:val="0"/>
                <w:szCs w:val="21"/>
              </w:rPr>
            </w:pPr>
            <w:r>
              <w:rPr>
                <w:rFonts w:hint="eastAsia" w:ascii="宋体" w:hAnsi="宋体" w:cs="宋体"/>
                <w:color w:val="auto"/>
                <w:kern w:val="0"/>
                <w:szCs w:val="21"/>
              </w:rPr>
              <w:t>品牌：</w:t>
            </w:r>
            <w:r>
              <w:rPr>
                <w:rFonts w:hint="eastAsia" w:ascii="宋体" w:hAnsi="宋体" w:cs="宋体"/>
                <w:color w:val="auto"/>
                <w:kern w:val="0"/>
                <w:szCs w:val="21"/>
                <w:lang w:val="en-US" w:eastAsia="zh-CN"/>
              </w:rPr>
              <w:t>浙江万马、江南电缆、上上电缆、宝胜电缆或等同</w:t>
            </w:r>
          </w:p>
        </w:tc>
      </w:tr>
      <w:tr w14:paraId="1114D499">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A4C227">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12</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3BBAC727">
            <w:pPr>
              <w:widowControl/>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防爆电气接头、防爆绕管等</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501447C7">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6A33BADE">
            <w:pPr>
              <w:widowControl/>
              <w:jc w:val="left"/>
              <w:rPr>
                <w:rFonts w:hint="eastAsia" w:ascii="宋体" w:hAnsi="宋体" w:cs="宋体"/>
                <w:color w:val="auto"/>
                <w:kern w:val="0"/>
                <w:szCs w:val="21"/>
              </w:rPr>
            </w:pPr>
            <w:r>
              <w:rPr>
                <w:rFonts w:hint="eastAsia" w:ascii="宋体" w:hAnsi="宋体" w:cs="宋体"/>
                <w:color w:val="auto"/>
                <w:kern w:val="0"/>
                <w:szCs w:val="21"/>
              </w:rPr>
              <w:t>品牌：</w:t>
            </w:r>
            <w:r>
              <w:rPr>
                <w:rFonts w:hint="eastAsia" w:ascii="宋体" w:hAnsi="宋体" w:cs="宋体"/>
                <w:color w:val="auto"/>
                <w:kern w:val="0"/>
                <w:szCs w:val="21"/>
                <w:lang w:val="en-US" w:eastAsia="zh-CN"/>
              </w:rPr>
              <w:t>华荣、新黎明、浙江飞策或等同</w:t>
            </w:r>
          </w:p>
        </w:tc>
      </w:tr>
      <w:tr w14:paraId="737A940B">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A2B1DE">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13</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067D753B">
            <w:pPr>
              <w:widowControl/>
              <w:jc w:val="center"/>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lang w:val="en-US" w:eastAsia="zh-CN"/>
              </w:rPr>
              <w:t>PLC</w:t>
            </w:r>
            <w:r>
              <w:rPr>
                <w:rFonts w:hint="eastAsia" w:ascii="宋体" w:hAnsi="宋体" w:cs="宋体"/>
                <w:color w:val="auto"/>
                <w:kern w:val="0"/>
                <w:szCs w:val="21"/>
              </w:rPr>
              <w:t>控制</w:t>
            </w:r>
            <w:r>
              <w:rPr>
                <w:rFonts w:hint="eastAsia" w:ascii="宋体" w:hAnsi="宋体" w:cs="宋体"/>
                <w:color w:val="auto"/>
                <w:kern w:val="0"/>
                <w:szCs w:val="21"/>
                <w:lang w:val="en-US" w:eastAsia="zh-CN"/>
              </w:rPr>
              <w:t>柜及系统</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F0B4961">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eastAsia="宋体" w:cs="宋体"/>
                <w:color w:val="auto"/>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72308DB5">
            <w:pPr>
              <w:widowControl/>
              <w:jc w:val="left"/>
              <w:rPr>
                <w:rFonts w:hint="default"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品牌：西门子或等同</w:t>
            </w:r>
          </w:p>
        </w:tc>
      </w:tr>
      <w:tr w14:paraId="7E8FCD9D">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9EA076">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14</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5D300EB5">
            <w:pPr>
              <w:widowControl/>
              <w:jc w:val="center"/>
              <w:rPr>
                <w:rFonts w:hint="default" w:ascii="宋体" w:hAnsi="宋体" w:cs="宋体" w:eastAsiaTheme="minorEastAsia"/>
                <w:color w:val="auto"/>
                <w:kern w:val="0"/>
                <w:szCs w:val="21"/>
                <w:lang w:val="en-US" w:eastAsia="zh-CN"/>
              </w:rPr>
            </w:pPr>
            <w:r>
              <w:rPr>
                <w:rFonts w:hint="eastAsia" w:ascii="宋体" w:hAnsi="宋体" w:cs="宋体"/>
                <w:color w:val="auto"/>
                <w:kern w:val="0"/>
                <w:szCs w:val="21"/>
                <w:lang w:val="en-US" w:eastAsia="zh-CN"/>
              </w:rPr>
              <w:t>爬梯、平台</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ECF84F3">
            <w:pPr>
              <w:widowControl/>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尾气塔、吸收塔、活性炭箱均由投标方设计、提供</w:t>
            </w:r>
          </w:p>
          <w:p w14:paraId="3ADD64A3">
            <w:pPr>
              <w:widowControl/>
              <w:jc w:val="left"/>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应符合标准：GB 4053-2025</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DA44D95">
            <w:pPr>
              <w:widowControl/>
              <w:jc w:val="left"/>
              <w:rPr>
                <w:rFonts w:hint="eastAsia" w:ascii="宋体" w:hAnsi="宋体" w:cs="宋体"/>
                <w:color w:val="auto"/>
                <w:kern w:val="0"/>
                <w:szCs w:val="21"/>
              </w:rPr>
            </w:pPr>
            <w:r>
              <w:rPr>
                <w:rFonts w:hint="eastAsia" w:ascii="宋体" w:hAnsi="宋体" w:cs="宋体"/>
                <w:color w:val="auto"/>
                <w:kern w:val="0"/>
                <w:szCs w:val="21"/>
                <w:lang w:val="en-US" w:eastAsia="zh-CN"/>
              </w:rPr>
              <w:t>厂家配套</w:t>
            </w:r>
          </w:p>
        </w:tc>
      </w:tr>
      <w:tr w14:paraId="664D0BA5">
        <w:tblPrEx>
          <w:tblCellMar>
            <w:top w:w="0" w:type="dxa"/>
            <w:left w:w="108" w:type="dxa"/>
            <w:bottom w:w="0" w:type="dxa"/>
            <w:right w:w="108" w:type="dxa"/>
          </w:tblCellMar>
        </w:tblPrEx>
        <w:trPr>
          <w:trHeight w:val="676" w:hRule="atLeast"/>
        </w:trPr>
        <w:tc>
          <w:tcPr>
            <w:tcW w:w="796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4E3B6F3F">
            <w:pPr>
              <w:widowControl/>
              <w:jc w:val="both"/>
              <w:rPr>
                <w:rFonts w:hint="eastAsia"/>
                <w:color w:val="auto"/>
                <w:sz w:val="24"/>
                <w:szCs w:val="24"/>
                <w:lang w:val="en-US" w:eastAsia="zh-CN"/>
              </w:rPr>
            </w:pPr>
            <w:r>
              <w:rPr>
                <w:rFonts w:hint="eastAsia"/>
                <w:color w:val="auto"/>
                <w:sz w:val="24"/>
                <w:szCs w:val="24"/>
                <w:lang w:val="en-US" w:eastAsia="zh-CN"/>
              </w:rPr>
              <w:t>电动机品牌：皖南、华达、卧龙、江苏大中或等同。</w:t>
            </w:r>
          </w:p>
          <w:p w14:paraId="087BA7DA">
            <w:pPr>
              <w:widowControl/>
              <w:jc w:val="left"/>
              <w:rPr>
                <w:rFonts w:hint="eastAsia" w:ascii="宋体" w:hAnsi="宋体" w:cs="宋体"/>
                <w:color w:val="auto"/>
                <w:kern w:val="0"/>
                <w:szCs w:val="21"/>
                <w:lang w:val="en-US" w:eastAsia="zh-CN"/>
              </w:rPr>
            </w:pPr>
            <w:r>
              <w:rPr>
                <w:rFonts w:hint="eastAsia"/>
                <w:color w:val="auto"/>
                <w:sz w:val="24"/>
                <w:szCs w:val="24"/>
                <w:lang w:val="en-US" w:eastAsia="zh-CN"/>
              </w:rPr>
              <w:t>此表内所列内容全部由供应商提供。</w:t>
            </w:r>
          </w:p>
        </w:tc>
      </w:tr>
    </w:tbl>
    <w:p w14:paraId="662B0BC9">
      <w:pPr>
        <w:pStyle w:val="54"/>
        <w:numPr>
          <w:ilvl w:val="0"/>
          <w:numId w:val="4"/>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4"/>
        <w:numPr>
          <w:ilvl w:val="0"/>
          <w:numId w:val="4"/>
        </w:numPr>
        <w:ind w:left="426" w:hanging="426" w:firstLineChars="0"/>
        <w:rPr>
          <w:color w:val="auto"/>
          <w:sz w:val="24"/>
          <w:szCs w:val="24"/>
        </w:rPr>
      </w:pPr>
      <w:r>
        <w:rPr>
          <w:color w:val="auto"/>
          <w:sz w:val="24"/>
          <w:szCs w:val="24"/>
        </w:rPr>
        <w:t>技术文件的传递</w:t>
      </w:r>
    </w:p>
    <w:p w14:paraId="18680A1A">
      <w:pPr>
        <w:pStyle w:val="54"/>
        <w:numPr>
          <w:ilvl w:val="0"/>
          <w:numId w:val="6"/>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rPr>
        <w:t>。</w:t>
      </w:r>
    </w:p>
    <w:p w14:paraId="6A584183">
      <w:pPr>
        <w:pStyle w:val="54"/>
        <w:numPr>
          <w:ilvl w:val="0"/>
          <w:numId w:val="6"/>
        </w:numPr>
        <w:ind w:left="709" w:firstLineChars="0"/>
        <w:rPr>
          <w:color w:val="auto"/>
          <w:sz w:val="24"/>
          <w:szCs w:val="24"/>
        </w:rPr>
      </w:pPr>
      <w:r>
        <w:rPr>
          <w:rFonts w:hint="eastAsia"/>
          <w:color w:val="auto"/>
          <w:sz w:val="24"/>
          <w:szCs w:val="24"/>
        </w:rPr>
        <w:t>供方应提供的出厂文件。</w:t>
      </w:r>
    </w:p>
    <w:p w14:paraId="56D63606">
      <w:pPr>
        <w:pStyle w:val="54"/>
        <w:numPr>
          <w:ilvl w:val="0"/>
          <w:numId w:val="6"/>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4"/>
        <w:numPr>
          <w:ilvl w:val="0"/>
          <w:numId w:val="4"/>
        </w:numPr>
        <w:ind w:left="426" w:hanging="426" w:firstLineChars="0"/>
        <w:rPr>
          <w:color w:val="auto"/>
          <w:sz w:val="24"/>
          <w:szCs w:val="24"/>
        </w:rPr>
      </w:pPr>
      <w:r>
        <w:rPr>
          <w:color w:val="auto"/>
          <w:sz w:val="24"/>
          <w:szCs w:val="24"/>
        </w:rPr>
        <w:t>质量保证及服务承诺</w:t>
      </w:r>
    </w:p>
    <w:p w14:paraId="2CDB65D8">
      <w:pPr>
        <w:pStyle w:val="54"/>
        <w:numPr>
          <w:ilvl w:val="0"/>
          <w:numId w:val="7"/>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原乳液车间尾气处理系统</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4"/>
        <w:numPr>
          <w:ilvl w:val="0"/>
          <w:numId w:val="7"/>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4"/>
        <w:numPr>
          <w:ilvl w:val="0"/>
          <w:numId w:val="7"/>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4"/>
        <w:numPr>
          <w:ilvl w:val="0"/>
          <w:numId w:val="7"/>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4"/>
        <w:numPr>
          <w:ilvl w:val="0"/>
          <w:numId w:val="7"/>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4"/>
        <w:numPr>
          <w:ilvl w:val="0"/>
          <w:numId w:val="7"/>
        </w:numPr>
        <w:ind w:left="644" w:hanging="644" w:firstLineChars="0"/>
        <w:rPr>
          <w:color w:val="auto"/>
          <w:sz w:val="24"/>
          <w:szCs w:val="24"/>
        </w:rPr>
      </w:pPr>
      <w:r>
        <w:rPr>
          <w:rFonts w:hint="eastAsia"/>
          <w:color w:val="auto"/>
          <w:sz w:val="24"/>
          <w:szCs w:val="24"/>
        </w:rPr>
        <w:t>供方应免费提供技术指导和培训。</w:t>
      </w:r>
    </w:p>
    <w:p w14:paraId="67D46260">
      <w:pPr>
        <w:pStyle w:val="54"/>
        <w:numPr>
          <w:ilvl w:val="0"/>
          <w:numId w:val="7"/>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3"/>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3"/>
        </w:numPr>
        <w:spacing w:line="360" w:lineRule="auto"/>
        <w:rPr>
          <w:rFonts w:ascii="宋体"/>
          <w:b/>
          <w:bCs/>
          <w:color w:val="auto"/>
          <w:sz w:val="24"/>
          <w:szCs w:val="28"/>
        </w:rPr>
      </w:pPr>
      <w:r>
        <w:rPr>
          <w:rFonts w:hint="eastAsia" w:ascii="宋体"/>
          <w:b/>
          <w:bCs/>
          <w:color w:val="auto"/>
          <w:sz w:val="24"/>
          <w:szCs w:val="28"/>
        </w:rPr>
        <w:t>其他重要要求：</w:t>
      </w:r>
    </w:p>
    <w:p w14:paraId="098F1788">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6</w:t>
      </w:r>
      <w:r>
        <w:rPr>
          <w:rFonts w:hint="eastAsia" w:ascii="宋体"/>
          <w:bCs/>
          <w:color w:val="auto"/>
          <w:sz w:val="24"/>
          <w:szCs w:val="28"/>
        </w:rPr>
        <w:t>0自然日内</w:t>
      </w:r>
    </w:p>
    <w:p w14:paraId="4C9B737D">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满足质保期要求：本工程竣工后12个月。</w:t>
      </w:r>
    </w:p>
    <w:p w14:paraId="00EDB16B">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招标范围：</w:t>
      </w:r>
      <w:r>
        <w:rPr>
          <w:rFonts w:hint="eastAsia" w:ascii="宋体"/>
          <w:bCs/>
          <w:color w:val="auto"/>
          <w:sz w:val="24"/>
          <w:szCs w:val="28"/>
          <w:lang w:eastAsia="zh-CN"/>
        </w:rPr>
        <w:t>原乳液车间尾气处理系统</w:t>
      </w:r>
      <w:r>
        <w:rPr>
          <w:rFonts w:hint="eastAsia" w:ascii="宋体"/>
          <w:bCs/>
          <w:color w:val="auto"/>
          <w:sz w:val="24"/>
          <w:szCs w:val="28"/>
        </w:rPr>
        <w:t>成套装置，含控制系统，通讯协议：Profinet，整套系统的供货+指导安装+调试。</w:t>
      </w:r>
    </w:p>
    <w:p w14:paraId="537A8E85">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eastAsia="zh-CN"/>
        </w:rPr>
        <w:t>原乳液车间尾气处理系统</w:t>
      </w:r>
      <w:r>
        <w:rPr>
          <w:rFonts w:hint="eastAsia" w:ascii="宋体"/>
          <w:bCs/>
          <w:color w:val="auto"/>
          <w:sz w:val="24"/>
          <w:szCs w:val="28"/>
        </w:rPr>
        <w:t>相关图纸/文件包含：</w:t>
      </w:r>
    </w:p>
    <w:p w14:paraId="291D0EA8">
      <w:pPr>
        <w:spacing w:line="360" w:lineRule="auto"/>
        <w:ind w:left="720" w:firstLine="480" w:firstLineChars="200"/>
        <w:rPr>
          <w:rFonts w:ascii="宋体"/>
          <w:bCs/>
          <w:color w:val="auto"/>
          <w:sz w:val="24"/>
          <w:szCs w:val="28"/>
        </w:rPr>
      </w:pPr>
      <w:r>
        <w:rPr>
          <w:rFonts w:hint="eastAsia" w:ascii="宋体"/>
          <w:bCs/>
          <w:color w:val="auto"/>
          <w:sz w:val="24"/>
          <w:szCs w:val="28"/>
        </w:rPr>
        <w:t>a、带P&amp;ID控制点工艺流程图</w:t>
      </w:r>
    </w:p>
    <w:p w14:paraId="5AC80F9B">
      <w:pPr>
        <w:spacing w:line="360" w:lineRule="auto"/>
        <w:ind w:left="720" w:firstLine="480" w:firstLineChars="200"/>
        <w:rPr>
          <w:rFonts w:ascii="宋体"/>
          <w:bCs/>
          <w:color w:val="auto"/>
          <w:sz w:val="24"/>
          <w:szCs w:val="28"/>
        </w:rPr>
      </w:pPr>
      <w:r>
        <w:rPr>
          <w:rFonts w:hint="eastAsia" w:ascii="宋体"/>
          <w:bCs/>
          <w:color w:val="auto"/>
          <w:sz w:val="24"/>
          <w:szCs w:val="28"/>
        </w:rPr>
        <w:t>b、设备平面布置图</w:t>
      </w:r>
    </w:p>
    <w:p w14:paraId="480B9F93">
      <w:pPr>
        <w:spacing w:line="360" w:lineRule="auto"/>
        <w:ind w:left="720" w:firstLine="480" w:firstLineChars="200"/>
        <w:rPr>
          <w:rFonts w:ascii="宋体"/>
          <w:bCs/>
          <w:color w:val="auto"/>
          <w:sz w:val="24"/>
          <w:szCs w:val="28"/>
        </w:rPr>
      </w:pPr>
      <w:r>
        <w:rPr>
          <w:rFonts w:hint="eastAsia" w:ascii="宋体"/>
          <w:bCs/>
          <w:color w:val="auto"/>
          <w:sz w:val="24"/>
          <w:szCs w:val="28"/>
        </w:rPr>
        <w:t>c、设备装配图</w:t>
      </w:r>
    </w:p>
    <w:p w14:paraId="00F5A452">
      <w:pPr>
        <w:spacing w:line="360" w:lineRule="auto"/>
        <w:ind w:left="720" w:firstLine="480" w:firstLineChars="200"/>
        <w:rPr>
          <w:rFonts w:ascii="宋体"/>
          <w:bCs/>
          <w:color w:val="auto"/>
          <w:sz w:val="24"/>
          <w:szCs w:val="28"/>
        </w:rPr>
      </w:pPr>
      <w:r>
        <w:rPr>
          <w:rFonts w:hint="eastAsia" w:ascii="宋体"/>
          <w:bCs/>
          <w:color w:val="auto"/>
          <w:sz w:val="24"/>
          <w:szCs w:val="28"/>
        </w:rPr>
        <w:t>d、设备载荷提资</w:t>
      </w:r>
    </w:p>
    <w:p w14:paraId="6AAD9010">
      <w:pPr>
        <w:spacing w:line="360" w:lineRule="auto"/>
        <w:ind w:left="720" w:firstLine="480" w:firstLineChars="200"/>
        <w:rPr>
          <w:rFonts w:ascii="宋体"/>
          <w:bCs/>
          <w:color w:val="auto"/>
          <w:sz w:val="24"/>
          <w:szCs w:val="28"/>
        </w:rPr>
      </w:pPr>
      <w:r>
        <w:rPr>
          <w:rFonts w:hint="eastAsia" w:ascii="宋体"/>
          <w:bCs/>
          <w:color w:val="auto"/>
          <w:sz w:val="24"/>
          <w:szCs w:val="28"/>
        </w:rPr>
        <w:t>e、配套电气图纸</w:t>
      </w:r>
    </w:p>
    <w:p w14:paraId="2EC9CF20">
      <w:pPr>
        <w:spacing w:line="360" w:lineRule="auto"/>
        <w:ind w:left="720" w:firstLine="480" w:firstLineChars="200"/>
        <w:rPr>
          <w:rFonts w:hint="default" w:eastAsia="宋体"/>
          <w:color w:val="auto"/>
          <w:lang w:val="en-US" w:eastAsia="zh-CN"/>
        </w:rPr>
      </w:pPr>
      <w:r>
        <w:rPr>
          <w:rFonts w:hint="eastAsia" w:ascii="宋体"/>
          <w:bCs/>
          <w:color w:val="auto"/>
          <w:sz w:val="24"/>
          <w:szCs w:val="28"/>
        </w:rPr>
        <w:t>f、</w:t>
      </w:r>
      <w:r>
        <w:rPr>
          <w:rFonts w:hint="eastAsia" w:ascii="宋体"/>
          <w:bCs/>
          <w:color w:val="auto"/>
          <w:sz w:val="24"/>
          <w:szCs w:val="28"/>
          <w:lang w:val="en-US" w:eastAsia="zh-CN"/>
        </w:rPr>
        <w:t>供货清单及</w:t>
      </w:r>
      <w:r>
        <w:rPr>
          <w:rFonts w:hint="eastAsia" w:ascii="宋体"/>
          <w:bCs/>
          <w:color w:val="auto"/>
          <w:sz w:val="24"/>
          <w:szCs w:val="28"/>
        </w:rPr>
        <w:t>操作手册</w:t>
      </w:r>
      <w:r>
        <w:rPr>
          <w:rFonts w:hint="eastAsia" w:ascii="宋体"/>
          <w:bCs/>
          <w:color w:val="auto"/>
          <w:sz w:val="24"/>
          <w:szCs w:val="28"/>
          <w:lang w:val="en-US" w:eastAsia="zh-CN"/>
        </w:rPr>
        <w:t xml:space="preserve"> </w:t>
      </w:r>
    </w:p>
    <w:p w14:paraId="3D0CFAE6">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投标厂家需承诺提供</w:t>
      </w:r>
      <w:r>
        <w:rPr>
          <w:rFonts w:hint="eastAsia" w:ascii="宋体"/>
          <w:bCs/>
          <w:color w:val="auto"/>
          <w:sz w:val="24"/>
          <w:szCs w:val="28"/>
          <w:lang w:val="en-US" w:eastAsia="zh-CN"/>
        </w:rPr>
        <w:t>系统外接</w:t>
      </w:r>
      <w:r>
        <w:rPr>
          <w:rFonts w:hint="eastAsia" w:ascii="宋体"/>
          <w:bCs/>
          <w:color w:val="auto"/>
          <w:sz w:val="24"/>
          <w:szCs w:val="28"/>
        </w:rPr>
        <w:t>第一片法兰</w:t>
      </w:r>
      <w:r>
        <w:rPr>
          <w:rFonts w:hint="eastAsia" w:ascii="宋体"/>
          <w:bCs/>
          <w:color w:val="auto"/>
          <w:sz w:val="24"/>
          <w:szCs w:val="28"/>
          <w:lang w:eastAsia="zh-CN"/>
        </w:rPr>
        <w:t>、</w:t>
      </w:r>
      <w:r>
        <w:rPr>
          <w:rFonts w:hint="eastAsia" w:ascii="宋体"/>
          <w:bCs/>
          <w:color w:val="auto"/>
          <w:sz w:val="24"/>
          <w:szCs w:val="28"/>
          <w:lang w:val="en-US" w:eastAsia="zh-CN"/>
        </w:rPr>
        <w:t>垫片</w:t>
      </w:r>
      <w:r>
        <w:rPr>
          <w:rFonts w:hint="eastAsia" w:ascii="宋体"/>
          <w:bCs/>
          <w:color w:val="auto"/>
          <w:sz w:val="24"/>
          <w:szCs w:val="28"/>
        </w:rPr>
        <w:t>和配套的</w:t>
      </w:r>
      <w:r>
        <w:rPr>
          <w:rFonts w:hint="eastAsia" w:ascii="宋体"/>
          <w:bCs/>
          <w:color w:val="auto"/>
          <w:sz w:val="24"/>
          <w:szCs w:val="28"/>
          <w:lang w:val="en-US" w:eastAsia="zh-CN"/>
        </w:rPr>
        <w:t>连接件</w:t>
      </w:r>
      <w:r>
        <w:rPr>
          <w:rFonts w:hint="eastAsia" w:ascii="宋体"/>
          <w:bCs/>
          <w:color w:val="auto"/>
          <w:sz w:val="24"/>
          <w:szCs w:val="28"/>
        </w:rPr>
        <w:t>。</w:t>
      </w:r>
    </w:p>
    <w:p w14:paraId="36021695">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投标厂家需承诺提供的电气仪表控制系统（如有）能满足接入甲方现有DCS系统，并实现本车间整个流程的自动控制。</w:t>
      </w:r>
    </w:p>
    <w:p w14:paraId="0929217B">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lang w:eastAsia="zh-CN"/>
        </w:rPr>
        <w:t>原乳液车间尾气处理系统</w:t>
      </w:r>
      <w:r>
        <w:rPr>
          <w:rFonts w:hint="eastAsia" w:ascii="宋体"/>
          <w:bCs/>
          <w:color w:val="auto"/>
          <w:sz w:val="24"/>
          <w:szCs w:val="28"/>
        </w:rPr>
        <w:t>投标方提供满足设备安装、现场检验、通电等所需的各种备品备件及易损件，并提供满足2年正常运行所需的各种备品备件及易损件。</w:t>
      </w:r>
    </w:p>
    <w:p w14:paraId="09F62CE0">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投标厂家提供的成套设备能效标准需满足国家及地方性相关标准规定。</w:t>
      </w:r>
    </w:p>
    <w:p w14:paraId="442441E6">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投标厂家提供的设备包含防雷及静电接地板。</w:t>
      </w:r>
    </w:p>
    <w:p w14:paraId="3E00FB0F">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投标厂家提供的设备包含吊耳，吊耳选型、材料、焊缝需满足设计及相关规范标准要求。</w:t>
      </w:r>
    </w:p>
    <w:p w14:paraId="46AC3482">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投标厂家提供的设备需提供设计确认的相关图纸内技术要求进行的水压试验、气密性试验及壳体焊缝检验合格的相关证书。</w:t>
      </w:r>
    </w:p>
    <w:p w14:paraId="7AA587F2">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668D7295">
      <w:pPr>
        <w:pStyle w:val="54"/>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3661EDB8">
      <w:pPr>
        <w:pStyle w:val="54"/>
        <w:numPr>
          <w:ilvl w:val="0"/>
          <w:numId w:val="0"/>
        </w:numPr>
        <w:spacing w:line="360" w:lineRule="auto"/>
        <w:rPr>
          <w:rFonts w:hint="eastAsia" w:ascii="宋体" w:eastAsiaTheme="minorEastAsia"/>
          <w:bCs/>
          <w:color w:val="auto"/>
          <w:sz w:val="24"/>
          <w:szCs w:val="28"/>
          <w:lang w:val="en-US" w:eastAsia="zh-CN"/>
        </w:rPr>
      </w:pPr>
      <w:r>
        <w:rPr>
          <w:rFonts w:hint="eastAsia" w:ascii="宋体"/>
          <w:bCs/>
          <w:color w:val="auto"/>
          <w:sz w:val="24"/>
          <w:szCs w:val="28"/>
          <w:lang w:val="en-US" w:eastAsia="zh-CN"/>
        </w:rPr>
        <w:t>附表一：</w:t>
      </w:r>
    </w:p>
    <w:tbl>
      <w:tblPr>
        <w:tblStyle w:val="28"/>
        <w:tblW w:w="1069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397"/>
        <w:gridCol w:w="602"/>
        <w:gridCol w:w="714"/>
        <w:gridCol w:w="697"/>
        <w:gridCol w:w="774"/>
        <w:gridCol w:w="785"/>
        <w:gridCol w:w="1260"/>
        <w:gridCol w:w="765"/>
        <w:gridCol w:w="602"/>
        <w:gridCol w:w="775"/>
        <w:gridCol w:w="746"/>
        <w:gridCol w:w="866"/>
        <w:gridCol w:w="714"/>
        <w:gridCol w:w="557"/>
      </w:tblGrid>
      <w:tr w14:paraId="5BCDD5D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0" w:type="auto"/>
            <w:vMerge w:val="restart"/>
            <w:shd w:val="clear" w:color="auto" w:fill="auto"/>
            <w:vAlign w:val="center"/>
          </w:tcPr>
          <w:p w14:paraId="466623DB">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污染源</w:t>
            </w:r>
          </w:p>
        </w:tc>
        <w:tc>
          <w:tcPr>
            <w:tcW w:w="0" w:type="auto"/>
            <w:vMerge w:val="restart"/>
            <w:shd w:val="clear" w:color="auto" w:fill="auto"/>
            <w:vAlign w:val="center"/>
          </w:tcPr>
          <w:p w14:paraId="0D9B9AEB">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污染物名称</w:t>
            </w:r>
          </w:p>
        </w:tc>
        <w:tc>
          <w:tcPr>
            <w:tcW w:w="697" w:type="dxa"/>
            <w:gridSpan w:val="4"/>
            <w:shd w:val="clear" w:color="auto" w:fill="auto"/>
            <w:vAlign w:val="center"/>
          </w:tcPr>
          <w:p w14:paraId="299ABB4C">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产生情况</w:t>
            </w:r>
          </w:p>
        </w:tc>
        <w:tc>
          <w:tcPr>
            <w:tcW w:w="0" w:type="auto"/>
            <w:vMerge w:val="restart"/>
            <w:shd w:val="clear" w:color="auto" w:fill="auto"/>
            <w:vAlign w:val="center"/>
          </w:tcPr>
          <w:p w14:paraId="74D1AF80">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收集效率%</w:t>
            </w:r>
          </w:p>
        </w:tc>
        <w:tc>
          <w:tcPr>
            <w:tcW w:w="1260" w:type="dxa"/>
            <w:vMerge w:val="restart"/>
            <w:shd w:val="clear" w:color="auto" w:fill="auto"/>
            <w:vAlign w:val="center"/>
          </w:tcPr>
          <w:p w14:paraId="560EDED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治理措施</w:t>
            </w:r>
          </w:p>
        </w:tc>
        <w:tc>
          <w:tcPr>
            <w:tcW w:w="0" w:type="auto"/>
            <w:vMerge w:val="restart"/>
            <w:shd w:val="clear" w:color="auto" w:fill="auto"/>
            <w:vAlign w:val="center"/>
          </w:tcPr>
          <w:p w14:paraId="742F54B8">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去除率%</w:t>
            </w:r>
          </w:p>
        </w:tc>
        <w:tc>
          <w:tcPr>
            <w:tcW w:w="746" w:type="dxa"/>
            <w:gridSpan w:val="4"/>
            <w:shd w:val="clear" w:color="auto" w:fill="auto"/>
            <w:vAlign w:val="center"/>
          </w:tcPr>
          <w:p w14:paraId="56EC23D1">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排放情况</w:t>
            </w:r>
          </w:p>
        </w:tc>
        <w:tc>
          <w:tcPr>
            <w:tcW w:w="683" w:type="dxa"/>
            <w:gridSpan w:val="2"/>
            <w:shd w:val="clear" w:color="auto" w:fill="auto"/>
            <w:vAlign w:val="center"/>
          </w:tcPr>
          <w:p w14:paraId="6C952261">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执行标准</w:t>
            </w:r>
          </w:p>
        </w:tc>
      </w:tr>
      <w:tr w14:paraId="637B4A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vMerge w:val="continue"/>
            <w:vAlign w:val="center"/>
          </w:tcPr>
          <w:p w14:paraId="501A79A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0" w:type="auto"/>
            <w:vMerge w:val="continue"/>
            <w:vAlign w:val="center"/>
          </w:tcPr>
          <w:p w14:paraId="55E0A2AB">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0" w:type="auto"/>
            <w:shd w:val="clear" w:color="auto" w:fill="auto"/>
            <w:vAlign w:val="center"/>
          </w:tcPr>
          <w:p w14:paraId="2782688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废气量</w:t>
            </w:r>
          </w:p>
        </w:tc>
        <w:tc>
          <w:tcPr>
            <w:tcW w:w="0" w:type="auto"/>
            <w:shd w:val="clear" w:color="auto" w:fill="auto"/>
            <w:vAlign w:val="center"/>
          </w:tcPr>
          <w:p w14:paraId="6AC94A59">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浓度</w:t>
            </w:r>
          </w:p>
        </w:tc>
        <w:tc>
          <w:tcPr>
            <w:tcW w:w="697" w:type="dxa"/>
            <w:shd w:val="clear" w:color="auto" w:fill="auto"/>
            <w:vAlign w:val="center"/>
          </w:tcPr>
          <w:p w14:paraId="79A6899E">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速率</w:t>
            </w:r>
          </w:p>
        </w:tc>
        <w:tc>
          <w:tcPr>
            <w:tcW w:w="0" w:type="auto"/>
            <w:shd w:val="clear" w:color="auto" w:fill="auto"/>
            <w:vAlign w:val="center"/>
          </w:tcPr>
          <w:p w14:paraId="2C99FD7F">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产生量</w:t>
            </w:r>
          </w:p>
        </w:tc>
        <w:tc>
          <w:tcPr>
            <w:tcW w:w="0" w:type="auto"/>
            <w:vMerge w:val="continue"/>
            <w:vAlign w:val="center"/>
          </w:tcPr>
          <w:p w14:paraId="0AF57859">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1260" w:type="dxa"/>
            <w:vMerge w:val="continue"/>
            <w:vAlign w:val="center"/>
          </w:tcPr>
          <w:p w14:paraId="624FE0B5">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0" w:type="auto"/>
            <w:vMerge w:val="continue"/>
            <w:vAlign w:val="center"/>
          </w:tcPr>
          <w:p w14:paraId="4F89ED2E">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0" w:type="auto"/>
            <w:shd w:val="clear" w:color="auto" w:fill="auto"/>
            <w:vAlign w:val="center"/>
          </w:tcPr>
          <w:p w14:paraId="1E17EC93">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废气量</w:t>
            </w:r>
          </w:p>
        </w:tc>
        <w:tc>
          <w:tcPr>
            <w:tcW w:w="0" w:type="auto"/>
            <w:shd w:val="clear" w:color="auto" w:fill="auto"/>
            <w:vAlign w:val="center"/>
          </w:tcPr>
          <w:p w14:paraId="2EE16D9E">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浓度</w:t>
            </w:r>
          </w:p>
        </w:tc>
        <w:tc>
          <w:tcPr>
            <w:tcW w:w="746" w:type="dxa"/>
            <w:shd w:val="clear" w:color="auto" w:fill="auto"/>
            <w:vAlign w:val="center"/>
          </w:tcPr>
          <w:p w14:paraId="0788ED03">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速率</w:t>
            </w:r>
          </w:p>
        </w:tc>
        <w:tc>
          <w:tcPr>
            <w:tcW w:w="0" w:type="auto"/>
            <w:shd w:val="clear" w:color="auto" w:fill="auto"/>
            <w:vAlign w:val="center"/>
          </w:tcPr>
          <w:p w14:paraId="483BCB4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排放量</w:t>
            </w:r>
          </w:p>
        </w:tc>
        <w:tc>
          <w:tcPr>
            <w:tcW w:w="0" w:type="auto"/>
            <w:shd w:val="clear" w:color="auto" w:fill="auto"/>
            <w:vAlign w:val="center"/>
          </w:tcPr>
          <w:p w14:paraId="2CCC6D38">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浓度</w:t>
            </w:r>
          </w:p>
        </w:tc>
        <w:tc>
          <w:tcPr>
            <w:tcW w:w="535" w:type="dxa"/>
            <w:shd w:val="clear" w:color="auto" w:fill="auto"/>
            <w:vAlign w:val="center"/>
          </w:tcPr>
          <w:p w14:paraId="605A49CA">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速率</w:t>
            </w:r>
          </w:p>
        </w:tc>
      </w:tr>
      <w:tr w14:paraId="0F61B1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vMerge w:val="continue"/>
            <w:vAlign w:val="center"/>
          </w:tcPr>
          <w:p w14:paraId="0AFDD958">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0" w:type="auto"/>
            <w:vMerge w:val="continue"/>
            <w:vAlign w:val="center"/>
          </w:tcPr>
          <w:p w14:paraId="45FC9148">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p>
        </w:tc>
        <w:tc>
          <w:tcPr>
            <w:tcW w:w="0" w:type="auto"/>
            <w:shd w:val="clear" w:color="auto" w:fill="auto"/>
            <w:vAlign w:val="center"/>
          </w:tcPr>
          <w:p w14:paraId="2FFF5E60">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m</w:t>
            </w:r>
            <w:r>
              <w:rPr>
                <w:rFonts w:hint="default" w:ascii="Times New Roman" w:hAnsi="Times New Roman" w:cs="Times New Roman"/>
                <w:b/>
                <w:bCs/>
                <w:color w:val="auto"/>
                <w:sz w:val="18"/>
                <w:szCs w:val="18"/>
                <w:vertAlign w:val="superscript"/>
              </w:rPr>
              <w:t>3</w:t>
            </w:r>
            <w:r>
              <w:rPr>
                <w:rFonts w:hint="default" w:ascii="Times New Roman" w:hAnsi="Times New Roman" w:cs="Times New Roman"/>
                <w:b/>
                <w:bCs/>
                <w:color w:val="auto"/>
                <w:sz w:val="18"/>
                <w:szCs w:val="18"/>
              </w:rPr>
              <w:t>/h</w:t>
            </w:r>
          </w:p>
        </w:tc>
        <w:tc>
          <w:tcPr>
            <w:tcW w:w="0" w:type="auto"/>
            <w:shd w:val="clear" w:color="auto" w:fill="auto"/>
            <w:vAlign w:val="center"/>
          </w:tcPr>
          <w:p w14:paraId="73834FC1">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mg/m</w:t>
            </w:r>
            <w:r>
              <w:rPr>
                <w:rFonts w:hint="default" w:ascii="Times New Roman" w:hAnsi="Times New Roman" w:cs="Times New Roman"/>
                <w:b/>
                <w:bCs/>
                <w:color w:val="auto"/>
                <w:sz w:val="18"/>
                <w:szCs w:val="18"/>
                <w:vertAlign w:val="superscript"/>
              </w:rPr>
              <w:t>3</w:t>
            </w:r>
          </w:p>
        </w:tc>
        <w:tc>
          <w:tcPr>
            <w:tcW w:w="697" w:type="dxa"/>
            <w:shd w:val="clear" w:color="auto" w:fill="auto"/>
            <w:vAlign w:val="center"/>
          </w:tcPr>
          <w:p w14:paraId="57E268E9">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kg/h</w:t>
            </w:r>
          </w:p>
        </w:tc>
        <w:tc>
          <w:tcPr>
            <w:tcW w:w="0" w:type="auto"/>
            <w:shd w:val="clear" w:color="auto" w:fill="auto"/>
            <w:vAlign w:val="center"/>
          </w:tcPr>
          <w:p w14:paraId="692341AC">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t/a</w:t>
            </w:r>
          </w:p>
        </w:tc>
        <w:tc>
          <w:tcPr>
            <w:tcW w:w="0" w:type="auto"/>
            <w:vMerge w:val="continue"/>
            <w:vAlign w:val="center"/>
          </w:tcPr>
          <w:p w14:paraId="5CFD80A4">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1260" w:type="dxa"/>
            <w:vMerge w:val="continue"/>
            <w:vAlign w:val="center"/>
          </w:tcPr>
          <w:p w14:paraId="27A002E7">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0" w:type="auto"/>
            <w:vMerge w:val="continue"/>
            <w:vAlign w:val="center"/>
          </w:tcPr>
          <w:p w14:paraId="50CB14A8">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p>
        </w:tc>
        <w:tc>
          <w:tcPr>
            <w:tcW w:w="0" w:type="auto"/>
            <w:shd w:val="clear" w:color="auto" w:fill="auto"/>
            <w:vAlign w:val="center"/>
          </w:tcPr>
          <w:p w14:paraId="147506F2">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m</w:t>
            </w:r>
            <w:r>
              <w:rPr>
                <w:rFonts w:hint="default" w:ascii="Times New Roman" w:hAnsi="Times New Roman" w:cs="Times New Roman"/>
                <w:b/>
                <w:bCs/>
                <w:color w:val="auto"/>
                <w:sz w:val="18"/>
                <w:szCs w:val="18"/>
                <w:vertAlign w:val="superscript"/>
              </w:rPr>
              <w:t>3</w:t>
            </w:r>
            <w:r>
              <w:rPr>
                <w:rFonts w:hint="default" w:ascii="Times New Roman" w:hAnsi="Times New Roman" w:cs="Times New Roman"/>
                <w:b/>
                <w:bCs/>
                <w:color w:val="auto"/>
                <w:sz w:val="18"/>
                <w:szCs w:val="18"/>
              </w:rPr>
              <w:t>/h</w:t>
            </w:r>
          </w:p>
        </w:tc>
        <w:tc>
          <w:tcPr>
            <w:tcW w:w="0" w:type="auto"/>
            <w:shd w:val="clear" w:color="auto" w:fill="auto"/>
            <w:vAlign w:val="center"/>
          </w:tcPr>
          <w:p w14:paraId="53E53D80">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mg/m</w:t>
            </w:r>
            <w:r>
              <w:rPr>
                <w:rFonts w:hint="default" w:ascii="Times New Roman" w:hAnsi="Times New Roman" w:cs="Times New Roman"/>
                <w:b/>
                <w:bCs/>
                <w:color w:val="auto"/>
                <w:sz w:val="18"/>
                <w:szCs w:val="18"/>
                <w:vertAlign w:val="superscript"/>
              </w:rPr>
              <w:t>3</w:t>
            </w:r>
          </w:p>
        </w:tc>
        <w:tc>
          <w:tcPr>
            <w:tcW w:w="746" w:type="dxa"/>
            <w:shd w:val="clear" w:color="auto" w:fill="auto"/>
            <w:vAlign w:val="center"/>
          </w:tcPr>
          <w:p w14:paraId="4ED3982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kg/h</w:t>
            </w:r>
          </w:p>
        </w:tc>
        <w:tc>
          <w:tcPr>
            <w:tcW w:w="0" w:type="auto"/>
            <w:shd w:val="clear" w:color="auto" w:fill="auto"/>
            <w:vAlign w:val="center"/>
          </w:tcPr>
          <w:p w14:paraId="73E032E1">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t/a</w:t>
            </w:r>
          </w:p>
        </w:tc>
        <w:tc>
          <w:tcPr>
            <w:tcW w:w="0" w:type="auto"/>
            <w:shd w:val="clear" w:color="auto" w:fill="auto"/>
            <w:vAlign w:val="center"/>
          </w:tcPr>
          <w:p w14:paraId="1CC532D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mg/m</w:t>
            </w:r>
            <w:r>
              <w:rPr>
                <w:rFonts w:hint="default" w:ascii="Times New Roman" w:hAnsi="Times New Roman" w:cs="Times New Roman"/>
                <w:b/>
                <w:bCs/>
                <w:color w:val="auto"/>
                <w:sz w:val="18"/>
                <w:szCs w:val="18"/>
                <w:vertAlign w:val="superscript"/>
              </w:rPr>
              <w:t>3</w:t>
            </w:r>
          </w:p>
        </w:tc>
        <w:tc>
          <w:tcPr>
            <w:tcW w:w="535" w:type="dxa"/>
            <w:shd w:val="clear" w:color="auto" w:fill="auto"/>
            <w:vAlign w:val="center"/>
          </w:tcPr>
          <w:p w14:paraId="30D0A273">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kg/h</w:t>
            </w:r>
          </w:p>
        </w:tc>
      </w:tr>
      <w:tr w14:paraId="6D896C9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C66C3A1">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乳液</w:t>
            </w:r>
          </w:p>
          <w:p w14:paraId="25866A2C">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车间</w:t>
            </w:r>
          </w:p>
        </w:tc>
        <w:tc>
          <w:tcPr>
            <w:tcW w:w="0" w:type="auto"/>
            <w:vAlign w:val="center"/>
          </w:tcPr>
          <w:p w14:paraId="0AEF6102">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丙烯酰胺</w:t>
            </w:r>
          </w:p>
        </w:tc>
        <w:tc>
          <w:tcPr>
            <w:tcW w:w="0" w:type="auto"/>
            <w:vMerge w:val="restart"/>
            <w:vAlign w:val="center"/>
          </w:tcPr>
          <w:p w14:paraId="7D37E902">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5400</w:t>
            </w:r>
          </w:p>
        </w:tc>
        <w:tc>
          <w:tcPr>
            <w:tcW w:w="0" w:type="auto"/>
            <w:vAlign w:val="center"/>
          </w:tcPr>
          <w:p w14:paraId="26AB8A98">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42</w:t>
            </w:r>
          </w:p>
        </w:tc>
        <w:tc>
          <w:tcPr>
            <w:tcW w:w="697" w:type="dxa"/>
            <w:vAlign w:val="center"/>
          </w:tcPr>
          <w:p w14:paraId="39D3505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0.23</w:t>
            </w:r>
          </w:p>
        </w:tc>
        <w:tc>
          <w:tcPr>
            <w:tcW w:w="0" w:type="auto"/>
            <w:vAlign w:val="center"/>
          </w:tcPr>
          <w:p w14:paraId="12279B43">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1.63</w:t>
            </w:r>
          </w:p>
        </w:tc>
        <w:tc>
          <w:tcPr>
            <w:tcW w:w="0" w:type="auto"/>
            <w:vAlign w:val="center"/>
          </w:tcPr>
          <w:p w14:paraId="5A36967F">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98%</w:t>
            </w:r>
          </w:p>
        </w:tc>
        <w:tc>
          <w:tcPr>
            <w:tcW w:w="1260" w:type="dxa"/>
            <w:vMerge w:val="restart"/>
            <w:vAlign w:val="center"/>
          </w:tcPr>
          <w:p w14:paraId="5737A6D9">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二级水</w:t>
            </w:r>
            <w:r>
              <w:rPr>
                <w:rFonts w:hint="eastAsia" w:cs="Times New Roman"/>
                <w:color w:val="auto"/>
                <w:sz w:val="18"/>
                <w:szCs w:val="18"/>
                <w:lang w:val="en-US" w:eastAsia="zh-CN"/>
              </w:rPr>
              <w:t>吸收+干燥+二级活性炭吸附</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XTA00</w:t>
            </w:r>
            <w:r>
              <w:rPr>
                <w:rFonts w:hint="default" w:ascii="Times New Roman" w:hAnsi="Times New Roman" w:cs="Times New Roman"/>
                <w:color w:val="auto"/>
                <w:sz w:val="18"/>
                <w:szCs w:val="18"/>
                <w:lang w:val="en-US" w:eastAsia="zh-CN"/>
              </w:rPr>
              <w:t>6)</w:t>
            </w:r>
          </w:p>
        </w:tc>
        <w:tc>
          <w:tcPr>
            <w:tcW w:w="0" w:type="auto"/>
            <w:vAlign w:val="center"/>
          </w:tcPr>
          <w:p w14:paraId="6E67CD7F">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9</w:t>
            </w:r>
            <w:r>
              <w:rPr>
                <w:rFonts w:hint="eastAsia" w:cs="Times New Roman"/>
                <w:color w:val="auto"/>
                <w:sz w:val="18"/>
                <w:szCs w:val="18"/>
                <w:lang w:val="en-US" w:eastAsia="zh-CN"/>
              </w:rPr>
              <w:t>9%</w:t>
            </w:r>
          </w:p>
        </w:tc>
        <w:tc>
          <w:tcPr>
            <w:tcW w:w="0" w:type="auto"/>
            <w:vMerge w:val="restart"/>
            <w:vAlign w:val="center"/>
          </w:tcPr>
          <w:p w14:paraId="56D9E5B9">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5400</w:t>
            </w:r>
          </w:p>
        </w:tc>
        <w:tc>
          <w:tcPr>
            <w:tcW w:w="0" w:type="auto"/>
            <w:vAlign w:val="center"/>
          </w:tcPr>
          <w:p w14:paraId="675F9C39">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0.41</w:t>
            </w:r>
          </w:p>
        </w:tc>
        <w:tc>
          <w:tcPr>
            <w:tcW w:w="746" w:type="dxa"/>
            <w:vAlign w:val="center"/>
          </w:tcPr>
          <w:p w14:paraId="51D89364">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0.002</w:t>
            </w:r>
          </w:p>
        </w:tc>
        <w:tc>
          <w:tcPr>
            <w:tcW w:w="0" w:type="auto"/>
            <w:vAlign w:val="center"/>
          </w:tcPr>
          <w:p w14:paraId="2735FF65">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0.016</w:t>
            </w:r>
          </w:p>
        </w:tc>
        <w:tc>
          <w:tcPr>
            <w:tcW w:w="0" w:type="auto"/>
            <w:vAlign w:val="center"/>
          </w:tcPr>
          <w:p w14:paraId="128579B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0.5</w:t>
            </w:r>
          </w:p>
        </w:tc>
        <w:tc>
          <w:tcPr>
            <w:tcW w:w="535" w:type="dxa"/>
            <w:vAlign w:val="center"/>
          </w:tcPr>
          <w:p w14:paraId="54A4C30B">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w:t>
            </w:r>
          </w:p>
        </w:tc>
      </w:tr>
      <w:tr w14:paraId="1069DF1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85" w:type="dxa"/>
            <w:vMerge w:val="continue"/>
            <w:vAlign w:val="center"/>
          </w:tcPr>
          <w:p w14:paraId="3F07B93D">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p>
        </w:tc>
        <w:tc>
          <w:tcPr>
            <w:tcW w:w="385" w:type="dxa"/>
            <w:vAlign w:val="center"/>
          </w:tcPr>
          <w:p w14:paraId="1495187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cs="Times New Roman"/>
                <w:color w:val="auto"/>
                <w:sz w:val="18"/>
                <w:szCs w:val="18"/>
                <w:lang w:val="en-US" w:eastAsia="zh-CN"/>
              </w:rPr>
            </w:pPr>
            <w:r>
              <w:rPr>
                <w:rFonts w:hint="eastAsia" w:cs="Times New Roman"/>
                <w:color w:val="auto"/>
                <w:sz w:val="18"/>
                <w:szCs w:val="18"/>
                <w:lang w:val="en-US" w:eastAsia="zh-CN"/>
              </w:rPr>
              <w:t>丙烯酸</w:t>
            </w:r>
          </w:p>
        </w:tc>
        <w:tc>
          <w:tcPr>
            <w:tcW w:w="820" w:type="dxa"/>
            <w:vMerge w:val="continue"/>
            <w:vAlign w:val="center"/>
          </w:tcPr>
          <w:p w14:paraId="7367EE48">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eastAsia" w:cs="Times New Roman"/>
                <w:color w:val="auto"/>
                <w:sz w:val="18"/>
                <w:szCs w:val="18"/>
                <w:lang w:val="en-US" w:eastAsia="zh-CN"/>
              </w:rPr>
            </w:pPr>
          </w:p>
        </w:tc>
        <w:tc>
          <w:tcPr>
            <w:tcW w:w="680" w:type="dxa"/>
            <w:vAlign w:val="center"/>
          </w:tcPr>
          <w:p w14:paraId="704F948B">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21</w:t>
            </w:r>
          </w:p>
        </w:tc>
        <w:tc>
          <w:tcPr>
            <w:tcW w:w="697" w:type="dxa"/>
            <w:vAlign w:val="center"/>
          </w:tcPr>
          <w:p w14:paraId="781547A3">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0.11</w:t>
            </w:r>
          </w:p>
        </w:tc>
        <w:tc>
          <w:tcPr>
            <w:tcW w:w="774" w:type="dxa"/>
            <w:vAlign w:val="center"/>
          </w:tcPr>
          <w:p w14:paraId="5EA3520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0.82</w:t>
            </w:r>
          </w:p>
        </w:tc>
        <w:tc>
          <w:tcPr>
            <w:tcW w:w="785" w:type="dxa"/>
            <w:vAlign w:val="center"/>
          </w:tcPr>
          <w:p w14:paraId="323E8AE8">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98%</w:t>
            </w:r>
          </w:p>
        </w:tc>
        <w:tc>
          <w:tcPr>
            <w:tcW w:w="1260" w:type="dxa"/>
            <w:vMerge w:val="continue"/>
            <w:vAlign w:val="center"/>
          </w:tcPr>
          <w:p w14:paraId="0EBBAF19">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p>
        </w:tc>
        <w:tc>
          <w:tcPr>
            <w:tcW w:w="765" w:type="dxa"/>
            <w:vAlign w:val="center"/>
          </w:tcPr>
          <w:p w14:paraId="56BAA162">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9</w:t>
            </w:r>
            <w:r>
              <w:rPr>
                <w:rFonts w:hint="eastAsia" w:cs="Times New Roman"/>
                <w:color w:val="auto"/>
                <w:sz w:val="18"/>
                <w:szCs w:val="18"/>
                <w:lang w:val="en-US" w:eastAsia="zh-CN"/>
              </w:rPr>
              <w:t>9%</w:t>
            </w:r>
          </w:p>
        </w:tc>
        <w:tc>
          <w:tcPr>
            <w:tcW w:w="820" w:type="dxa"/>
            <w:vMerge w:val="continue"/>
            <w:vAlign w:val="center"/>
          </w:tcPr>
          <w:p w14:paraId="2D64ED56">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eastAsia" w:cs="Times New Roman"/>
                <w:color w:val="auto"/>
                <w:sz w:val="18"/>
                <w:szCs w:val="18"/>
                <w:lang w:val="en-US" w:eastAsia="zh-CN"/>
              </w:rPr>
            </w:pPr>
          </w:p>
        </w:tc>
        <w:tc>
          <w:tcPr>
            <w:tcW w:w="775" w:type="dxa"/>
            <w:vAlign w:val="center"/>
          </w:tcPr>
          <w:p w14:paraId="4F5C1352">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0.21</w:t>
            </w:r>
          </w:p>
        </w:tc>
        <w:tc>
          <w:tcPr>
            <w:tcW w:w="746" w:type="dxa"/>
            <w:vAlign w:val="center"/>
          </w:tcPr>
          <w:p w14:paraId="6BE3F18E">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0.001</w:t>
            </w:r>
          </w:p>
        </w:tc>
        <w:tc>
          <w:tcPr>
            <w:tcW w:w="866" w:type="dxa"/>
            <w:vAlign w:val="center"/>
          </w:tcPr>
          <w:p w14:paraId="17B3AB3B">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0.008</w:t>
            </w:r>
          </w:p>
        </w:tc>
        <w:tc>
          <w:tcPr>
            <w:tcW w:w="683" w:type="dxa"/>
            <w:vAlign w:val="center"/>
          </w:tcPr>
          <w:p w14:paraId="5564BF95">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kern w:val="2"/>
                <w:sz w:val="18"/>
                <w:szCs w:val="18"/>
                <w:lang w:val="en-US" w:eastAsia="zh-CN" w:bidi="ar-SA"/>
              </w:rPr>
            </w:pPr>
            <w:r>
              <w:rPr>
                <w:rFonts w:hint="eastAsia" w:cs="Times New Roman"/>
                <w:color w:val="auto"/>
                <w:kern w:val="2"/>
                <w:sz w:val="18"/>
                <w:szCs w:val="18"/>
                <w:lang w:val="en-US" w:eastAsia="zh-CN" w:bidi="ar-SA"/>
              </w:rPr>
              <w:t>20</w:t>
            </w:r>
          </w:p>
        </w:tc>
        <w:tc>
          <w:tcPr>
            <w:tcW w:w="535" w:type="dxa"/>
            <w:vAlign w:val="center"/>
          </w:tcPr>
          <w:p w14:paraId="55EC7E7B">
            <w:pPr>
              <w:pStyle w:val="60"/>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color w:val="auto"/>
                <w:kern w:val="2"/>
                <w:sz w:val="18"/>
                <w:szCs w:val="18"/>
                <w:lang w:val="en-US" w:eastAsia="zh-CN" w:bidi="ar-SA"/>
              </w:rPr>
            </w:pPr>
            <w:r>
              <w:rPr>
                <w:rFonts w:hint="eastAsia" w:cs="Times New Roman"/>
                <w:color w:val="auto"/>
                <w:kern w:val="2"/>
                <w:sz w:val="18"/>
                <w:szCs w:val="18"/>
                <w:lang w:val="en-US" w:eastAsia="zh-CN" w:bidi="ar-SA"/>
              </w:rPr>
              <w:t>/</w:t>
            </w:r>
          </w:p>
        </w:tc>
      </w:tr>
    </w:tbl>
    <w:p w14:paraId="78CD9125">
      <w:pPr>
        <w:spacing w:line="360" w:lineRule="auto"/>
        <w:rPr>
          <w:color w:val="auto"/>
          <w:sz w:val="24"/>
        </w:rPr>
      </w:pPr>
    </w:p>
    <w:p w14:paraId="1F302254">
      <w:pPr>
        <w:pStyle w:val="3"/>
        <w:rPr>
          <w:color w:val="auto"/>
          <w:sz w:val="24"/>
        </w:rPr>
      </w:pPr>
    </w:p>
    <w:p w14:paraId="4A767F75">
      <w:pPr>
        <w:rPr>
          <w:color w:val="auto"/>
          <w:sz w:val="24"/>
        </w:rPr>
      </w:pPr>
    </w:p>
    <w:p w14:paraId="23F49E77">
      <w:pPr>
        <w:pStyle w:val="3"/>
        <w:rPr>
          <w:color w:val="auto"/>
          <w:sz w:val="24"/>
        </w:rPr>
      </w:pPr>
    </w:p>
    <w:p w14:paraId="7DD2C1A8">
      <w:pPr>
        <w:rPr>
          <w:color w:val="auto"/>
          <w:sz w:val="24"/>
        </w:rPr>
      </w:pPr>
    </w:p>
    <w:p w14:paraId="01B0A2BE">
      <w:pPr>
        <w:pStyle w:val="3"/>
        <w:rPr>
          <w:color w:val="auto"/>
          <w:sz w:val="24"/>
        </w:rPr>
      </w:pPr>
    </w:p>
    <w:p w14:paraId="523CAF9A">
      <w:pPr>
        <w:rPr>
          <w:color w:val="auto"/>
          <w:sz w:val="24"/>
        </w:rPr>
      </w:pPr>
    </w:p>
    <w:p w14:paraId="18A4119B">
      <w:pPr>
        <w:pStyle w:val="3"/>
        <w:rPr>
          <w:color w:val="auto"/>
          <w:sz w:val="24"/>
        </w:rPr>
      </w:pPr>
    </w:p>
    <w:p w14:paraId="4012B0CB">
      <w:pPr>
        <w:rPr>
          <w:color w:val="auto"/>
          <w:sz w:val="24"/>
        </w:rPr>
      </w:pPr>
    </w:p>
    <w:p w14:paraId="4060E6CF">
      <w:pPr>
        <w:pStyle w:val="3"/>
        <w:rPr>
          <w:color w:val="auto"/>
          <w:sz w:val="24"/>
        </w:rPr>
      </w:pPr>
    </w:p>
    <w:p w14:paraId="6B74A3D1">
      <w:pPr>
        <w:rPr>
          <w:color w:val="auto"/>
          <w:sz w:val="24"/>
        </w:rPr>
      </w:pPr>
    </w:p>
    <w:p w14:paraId="102D96DC">
      <w:pPr>
        <w:pStyle w:val="3"/>
        <w:rPr>
          <w:color w:val="auto"/>
          <w:sz w:val="24"/>
        </w:rPr>
      </w:pPr>
    </w:p>
    <w:p w14:paraId="448ABB46">
      <w:pPr>
        <w:rPr>
          <w:color w:val="auto"/>
        </w:rPr>
      </w:pPr>
    </w:p>
    <w:p w14:paraId="22A398A9">
      <w:pPr>
        <w:rPr>
          <w:color w:val="auto"/>
        </w:rPr>
      </w:pPr>
    </w:p>
    <w:p w14:paraId="056DC290">
      <w:pPr>
        <w:rPr>
          <w:color w:val="auto"/>
        </w:rPr>
      </w:pPr>
    </w:p>
    <w:p w14:paraId="30E0E374">
      <w:pPr>
        <w:rPr>
          <w:color w:val="auto"/>
        </w:rPr>
      </w:pPr>
    </w:p>
    <w:p w14:paraId="60635CDD">
      <w:pPr>
        <w:rPr>
          <w:color w:val="auto"/>
        </w:rPr>
      </w:pPr>
    </w:p>
    <w:p w14:paraId="31C1F5FD">
      <w:pPr>
        <w:pStyle w:val="2"/>
        <w:rPr>
          <w:color w:val="auto"/>
        </w:rPr>
      </w:pPr>
    </w:p>
    <w:p w14:paraId="14D3E7B6">
      <w:pPr>
        <w:pStyle w:val="3"/>
        <w:rPr>
          <w:color w:val="auto"/>
        </w:rPr>
      </w:pPr>
    </w:p>
    <w:p w14:paraId="4293A161"/>
    <w:p w14:paraId="1F8B300B">
      <w:pPr>
        <w:rPr>
          <w:color w:val="auto"/>
        </w:rPr>
      </w:pPr>
    </w:p>
    <w:p w14:paraId="4C8B8102">
      <w:pPr>
        <w:rPr>
          <w:color w:val="auto"/>
        </w:rPr>
      </w:pPr>
    </w:p>
    <w:p w14:paraId="463E641F">
      <w:pPr>
        <w:rPr>
          <w:color w:val="auto"/>
        </w:rPr>
      </w:pPr>
    </w:p>
    <w:p w14:paraId="2F758564">
      <w:pPr>
        <w:rPr>
          <w:color w:val="auto"/>
        </w:rPr>
      </w:pPr>
    </w:p>
    <w:p w14:paraId="75CB4B8B">
      <w:pPr>
        <w:pStyle w:val="3"/>
        <w:ind w:left="0" w:leftChars="0" w:firstLine="0" w:firstLineChars="0"/>
        <w:rPr>
          <w:color w:val="auto"/>
        </w:rPr>
      </w:pPr>
    </w:p>
    <w:p w14:paraId="6C72FFB2">
      <w:pPr>
        <w:pStyle w:val="5"/>
        <w:jc w:val="center"/>
        <w:rPr>
          <w:color w:val="auto"/>
          <w:sz w:val="24"/>
          <w:szCs w:val="28"/>
        </w:rPr>
      </w:pPr>
      <w:bookmarkStart w:id="24" w:name="_Toc414010748"/>
      <w:bookmarkStart w:id="25" w:name="_Toc410201041"/>
      <w:bookmarkStart w:id="26" w:name="_Toc11010"/>
      <w:r>
        <w:rPr>
          <w:rFonts w:hint="eastAsia"/>
          <w:color w:val="auto"/>
        </w:rPr>
        <w:t>第四部分评标标准和方法</w:t>
      </w:r>
      <w:bookmarkEnd w:id="24"/>
      <w:bookmarkEnd w:id="25"/>
      <w:bookmarkEnd w:id="26"/>
    </w:p>
    <w:p w14:paraId="12C83A4A">
      <w:pPr>
        <w:numPr>
          <w:ilvl w:val="0"/>
          <w:numId w:val="9"/>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9"/>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9"/>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原乳液车间尾气处理系统</w:t>
      </w:r>
    </w:p>
    <w:p w14:paraId="34523C58">
      <w:pPr>
        <w:pStyle w:val="3"/>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招标编号：TRHG-2026-017</w:t>
      </w:r>
    </w:p>
    <w:tbl>
      <w:tblPr>
        <w:tblStyle w:val="28"/>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8"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9" w:type="pct"/>
            <w:vMerge w:val="restart"/>
            <w:vAlign w:val="center"/>
          </w:tcPr>
          <w:p w14:paraId="7FB07829">
            <w:pPr>
              <w:jc w:val="center"/>
              <w:rPr>
                <w:color w:val="auto"/>
              </w:rPr>
            </w:pPr>
            <w:r>
              <w:rPr>
                <w:rFonts w:hint="eastAsia"/>
                <w:color w:val="auto"/>
              </w:rPr>
              <w:t>分值</w:t>
            </w:r>
          </w:p>
        </w:tc>
        <w:tc>
          <w:tcPr>
            <w:tcW w:w="2413"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8" w:type="pct"/>
            <w:vMerge w:val="continue"/>
            <w:vAlign w:val="center"/>
          </w:tcPr>
          <w:p w14:paraId="7D0E0B4C">
            <w:pPr>
              <w:jc w:val="center"/>
              <w:rPr>
                <w:color w:val="auto"/>
              </w:rPr>
            </w:pPr>
          </w:p>
        </w:tc>
        <w:tc>
          <w:tcPr>
            <w:tcW w:w="249" w:type="pct"/>
            <w:vMerge w:val="continue"/>
            <w:vAlign w:val="center"/>
          </w:tcPr>
          <w:p w14:paraId="1ED45B8C">
            <w:pPr>
              <w:jc w:val="center"/>
              <w:rPr>
                <w:color w:val="auto"/>
              </w:rPr>
            </w:pPr>
          </w:p>
        </w:tc>
        <w:tc>
          <w:tcPr>
            <w:tcW w:w="2013" w:type="pct"/>
            <w:gridSpan w:val="2"/>
            <w:vAlign w:val="center"/>
          </w:tcPr>
          <w:p w14:paraId="53C8C3EE">
            <w:pPr>
              <w:jc w:val="center"/>
              <w:rPr>
                <w:color w:val="auto"/>
              </w:rPr>
            </w:pPr>
            <w:r>
              <w:rPr>
                <w:rFonts w:hint="eastAsia"/>
                <w:color w:val="auto"/>
              </w:rPr>
              <w:t>内容</w:t>
            </w:r>
          </w:p>
        </w:tc>
        <w:tc>
          <w:tcPr>
            <w:tcW w:w="399"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8"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rPr>
                <w:color w:val="auto"/>
              </w:rPr>
            </w:pPr>
            <w:r>
              <w:rPr>
                <w:color w:val="auto"/>
              </w:rPr>
              <w:t>2</w:t>
            </w:r>
          </w:p>
        </w:tc>
        <w:tc>
          <w:tcPr>
            <w:tcW w:w="438"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vAlign w:val="center"/>
          </w:tcPr>
          <w:p w14:paraId="0D962889">
            <w:pPr>
              <w:jc w:val="center"/>
              <w:rPr>
                <w:color w:val="auto"/>
              </w:rP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239" w:type="pct"/>
            <w:vMerge w:val="continue"/>
            <w:vAlign w:val="center"/>
          </w:tcPr>
          <w:p w14:paraId="44972B34">
            <w:pPr>
              <w:jc w:val="center"/>
              <w:rPr>
                <w:color w:val="auto"/>
              </w:rPr>
            </w:pPr>
          </w:p>
        </w:tc>
        <w:tc>
          <w:tcPr>
            <w:tcW w:w="438" w:type="pct"/>
            <w:vMerge w:val="continue"/>
            <w:vAlign w:val="center"/>
          </w:tcPr>
          <w:p w14:paraId="76614633">
            <w:pPr>
              <w:jc w:val="center"/>
              <w:rPr>
                <w:color w:val="auto"/>
              </w:rP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rPr>
                <w:color w:val="auto"/>
              </w:rPr>
            </w:pPr>
          </w:p>
        </w:tc>
        <w:tc>
          <w:tcPr>
            <w:tcW w:w="449" w:type="pct"/>
            <w:vAlign w:val="center"/>
          </w:tcPr>
          <w:p w14:paraId="3FBFACFC">
            <w:pPr>
              <w:jc w:val="center"/>
              <w:rPr>
                <w:color w:val="auto"/>
              </w:rPr>
            </w:pPr>
          </w:p>
        </w:tc>
        <w:tc>
          <w:tcPr>
            <w:tcW w:w="495" w:type="pct"/>
            <w:vAlign w:val="center"/>
          </w:tcPr>
          <w:p w14:paraId="375C05C1">
            <w:pPr>
              <w:jc w:val="center"/>
              <w:rPr>
                <w:color w:val="auto"/>
              </w:rPr>
            </w:pPr>
          </w:p>
        </w:tc>
        <w:tc>
          <w:tcPr>
            <w:tcW w:w="398" w:type="pct"/>
          </w:tcPr>
          <w:p w14:paraId="60559E85">
            <w:pPr>
              <w:jc w:val="center"/>
              <w:rPr>
                <w:color w:val="auto"/>
              </w:rPr>
            </w:pPr>
          </w:p>
        </w:tc>
        <w:tc>
          <w:tcPr>
            <w:tcW w:w="317" w:type="pct"/>
            <w:vAlign w:val="center"/>
          </w:tcPr>
          <w:p w14:paraId="4FAF3340">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8" w:type="pct"/>
            <w:vMerge w:val="continue"/>
            <w:vAlign w:val="center"/>
          </w:tcPr>
          <w:p w14:paraId="0BE5B02C">
            <w:pPr>
              <w:jc w:val="center"/>
              <w:rPr>
                <w:color w:val="auto"/>
              </w:rP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rPr>
                <w:color w:val="auto"/>
              </w:rPr>
            </w:pPr>
          </w:p>
        </w:tc>
        <w:tc>
          <w:tcPr>
            <w:tcW w:w="438" w:type="pct"/>
            <w:vMerge w:val="continue"/>
            <w:vAlign w:val="center"/>
          </w:tcPr>
          <w:p w14:paraId="62E72C60">
            <w:pPr>
              <w:jc w:val="center"/>
              <w:rPr>
                <w:color w:val="auto"/>
              </w:rP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8" w:type="pct"/>
            <w:vMerge w:val="restart"/>
            <w:vAlign w:val="center"/>
          </w:tcPr>
          <w:p w14:paraId="00BFAACA">
            <w:pPr>
              <w:jc w:val="center"/>
              <w:rPr>
                <w:color w:val="auto"/>
              </w:rPr>
            </w:pPr>
            <w:r>
              <w:rPr>
                <w:rFonts w:hint="eastAsia"/>
                <w:color w:val="auto"/>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7"/>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30</w:t>
            </w:r>
            <w:r>
              <w:rPr>
                <w:rFonts w:hint="eastAsia"/>
                <w:color w:val="auto"/>
                <w:sz w:val="21"/>
                <w:szCs w:val="21"/>
                <w:highlight w:val="none"/>
              </w:rPr>
              <w:t>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rPr>
                <w:color w:val="auto"/>
              </w:rPr>
            </w:pPr>
          </w:p>
        </w:tc>
        <w:tc>
          <w:tcPr>
            <w:tcW w:w="438" w:type="pct"/>
            <w:vMerge w:val="continue"/>
            <w:vAlign w:val="center"/>
          </w:tcPr>
          <w:p w14:paraId="1CF86A42">
            <w:pPr>
              <w:jc w:val="center"/>
              <w:rPr>
                <w:color w:val="auto"/>
              </w:rP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8" w:type="pct"/>
            <w:vMerge w:val="continue"/>
            <w:vAlign w:val="center"/>
          </w:tcPr>
          <w:p w14:paraId="6384A584">
            <w:pPr>
              <w:jc w:val="center"/>
              <w:rPr>
                <w:color w:val="auto"/>
              </w:rP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8" w:type="pct"/>
            <w:vAlign w:val="center"/>
          </w:tcPr>
          <w:p w14:paraId="45AD9C71">
            <w:pPr>
              <w:jc w:val="center"/>
              <w:rPr>
                <w:color w:val="auto"/>
              </w:rPr>
            </w:pPr>
            <w:r>
              <w:rPr>
                <w:rFonts w:hint="eastAsia"/>
                <w:color w:val="auto"/>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rFonts w:hint="eastAsia" w:eastAsiaTheme="minorEastAsia"/>
                <w:color w:val="auto"/>
                <w:lang w:eastAsia="zh-CN"/>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399"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8" w:type="pct"/>
            <w:vAlign w:val="center"/>
          </w:tcPr>
          <w:p w14:paraId="38C3E183">
            <w:pPr>
              <w:jc w:val="center"/>
              <w:rPr>
                <w:color w:val="auto"/>
              </w:rPr>
            </w:pPr>
            <w:r>
              <w:rPr>
                <w:rFonts w:hint="eastAsia"/>
                <w:color w:val="auto"/>
              </w:rPr>
              <w:t>商务报价</w:t>
            </w:r>
          </w:p>
        </w:tc>
        <w:tc>
          <w:tcPr>
            <w:tcW w:w="249" w:type="pct"/>
            <w:vAlign w:val="center"/>
          </w:tcPr>
          <w:p w14:paraId="4DAF32A9">
            <w:pPr>
              <w:jc w:val="center"/>
              <w:rPr>
                <w:color w:val="auto"/>
              </w:rPr>
            </w:pPr>
            <w:r>
              <w:rPr>
                <w:rFonts w:hint="eastAsia"/>
                <w:color w:val="auto"/>
              </w:rPr>
              <w:t>40</w:t>
            </w:r>
          </w:p>
        </w:tc>
        <w:tc>
          <w:tcPr>
            <w:tcW w:w="2013"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698F9147">
            <w:pPr>
              <w:widowControl/>
              <w:jc w:val="left"/>
              <w:rPr>
                <w:color w:val="auto"/>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 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 xml:space="preserve">投标价等于评标基准价的得满分，商务标得分最低为 0 分，不得为负。 </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399"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8" w:type="pct"/>
            <w:vAlign w:val="center"/>
          </w:tcPr>
          <w:p w14:paraId="15682634">
            <w:pPr>
              <w:jc w:val="center"/>
              <w:rPr>
                <w:color w:val="auto"/>
              </w:rPr>
            </w:pPr>
          </w:p>
        </w:tc>
        <w:tc>
          <w:tcPr>
            <w:tcW w:w="249" w:type="pct"/>
            <w:vAlign w:val="center"/>
          </w:tcPr>
          <w:p w14:paraId="578E5AAD">
            <w:pPr>
              <w:jc w:val="center"/>
              <w:rPr>
                <w:color w:val="auto"/>
              </w:rPr>
            </w:pPr>
          </w:p>
        </w:tc>
        <w:tc>
          <w:tcPr>
            <w:tcW w:w="396" w:type="pct"/>
            <w:vAlign w:val="center"/>
          </w:tcPr>
          <w:p w14:paraId="0B398B1F">
            <w:pPr>
              <w:rPr>
                <w:color w:val="auto"/>
              </w:rPr>
            </w:pPr>
          </w:p>
        </w:tc>
        <w:tc>
          <w:tcPr>
            <w:tcW w:w="1617" w:type="pct"/>
            <w:vAlign w:val="center"/>
          </w:tcPr>
          <w:p w14:paraId="399AE9CC">
            <w:pPr>
              <w:rPr>
                <w:color w:val="auto"/>
              </w:rPr>
            </w:pPr>
          </w:p>
        </w:tc>
        <w:tc>
          <w:tcPr>
            <w:tcW w:w="399"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9"/>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5F630621">
      <w:pPr>
        <w:numPr>
          <w:ilvl w:val="0"/>
          <w:numId w:val="10"/>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74EEF867">
      <w:pPr>
        <w:spacing w:line="500" w:lineRule="atLeast"/>
        <w:rPr>
          <w:rFonts w:ascii="宋体"/>
          <w:color w:val="auto"/>
        </w:rPr>
      </w:pP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10142649"/>
      <w:bookmarkStart w:id="31" w:name="_Toc409991268"/>
      <w:bookmarkStart w:id="32" w:name="_Toc409991184"/>
      <w:bookmarkStart w:id="33" w:name="_Toc410142026"/>
      <w:bookmarkStart w:id="34" w:name="_Toc410144149"/>
    </w:p>
    <w:bookmarkEnd w:id="30"/>
    <w:bookmarkEnd w:id="31"/>
    <w:bookmarkEnd w:id="32"/>
    <w:bookmarkEnd w:id="33"/>
    <w:bookmarkEnd w:id="34"/>
    <w:p w14:paraId="4CA4A513">
      <w:pPr>
        <w:pStyle w:val="5"/>
        <w:jc w:val="center"/>
        <w:rPr>
          <w:color w:val="auto"/>
        </w:rPr>
      </w:pPr>
      <w:bookmarkStart w:id="35" w:name="_Toc22843"/>
      <w:r>
        <w:rPr>
          <w:rFonts w:hint="eastAsia"/>
          <w:color w:val="auto"/>
        </w:rPr>
        <w:t>第五部分附件（投标文件格式）</w:t>
      </w:r>
      <w:bookmarkEnd w:id="35"/>
    </w:p>
    <w:p w14:paraId="3600FBC8">
      <w:pPr>
        <w:pStyle w:val="5"/>
        <w:rPr>
          <w:color w:val="auto"/>
        </w:rPr>
      </w:pPr>
      <w:bookmarkStart w:id="36" w:name="_Toc415000745"/>
      <w:bookmarkStart w:id="37" w:name="_Toc20483"/>
      <w:r>
        <w:rPr>
          <w:rFonts w:hint="eastAsia"/>
          <w:color w:val="auto"/>
        </w:rPr>
        <w:t>一、技术投标文件</w:t>
      </w:r>
      <w:bookmarkEnd w:id="36"/>
      <w:bookmarkEnd w:id="37"/>
    </w:p>
    <w:p w14:paraId="6086C20B">
      <w:pPr>
        <w:pStyle w:val="6"/>
        <w:rPr>
          <w:color w:val="auto"/>
        </w:rPr>
      </w:pPr>
      <w:bookmarkStart w:id="38" w:name="_Toc409991269"/>
      <w:bookmarkStart w:id="39" w:name="_Toc25536"/>
      <w:bookmarkStart w:id="40" w:name="_Toc410144150"/>
      <w:bookmarkStart w:id="41" w:name="_Toc409991185"/>
      <w:bookmarkStart w:id="42" w:name="_Toc410142027"/>
      <w:bookmarkStart w:id="43" w:name="_Toc410142650"/>
      <w:r>
        <w:rPr>
          <w:rFonts w:hint="eastAsia"/>
          <w:color w:val="auto"/>
        </w:rPr>
        <w:t>（一）投标资质</w:t>
      </w:r>
      <w:bookmarkEnd w:id="38"/>
      <w:bookmarkEnd w:id="39"/>
      <w:bookmarkEnd w:id="40"/>
      <w:bookmarkEnd w:id="41"/>
      <w:bookmarkEnd w:id="42"/>
      <w:bookmarkEnd w:id="43"/>
    </w:p>
    <w:p w14:paraId="2B82BD66">
      <w:pPr>
        <w:pStyle w:val="7"/>
        <w:tabs>
          <w:tab w:val="center" w:pos="4253"/>
        </w:tabs>
        <w:rPr>
          <w:color w:val="auto"/>
        </w:rPr>
      </w:pPr>
      <w:bookmarkStart w:id="44" w:name="_Toc2815"/>
      <w:bookmarkStart w:id="45" w:name="_Toc415000747"/>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原乳液车间尾气处理系统标采购</w:t>
      </w:r>
    </w:p>
    <w:p w14:paraId="65577AE8">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color w:val="auto"/>
          <w:szCs w:val="21"/>
          <w:lang w:eastAsia="zh-CN"/>
        </w:rPr>
        <w:t>TRHG-2026-017</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原乳液车间尾气处理系统</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color w:val="auto"/>
          <w:szCs w:val="21"/>
          <w:lang w:eastAsia="zh-CN"/>
        </w:rPr>
        <w:t>TRHG-2026-017</w:t>
      </w:r>
      <w:r>
        <w:rPr>
          <w:rFonts w:hint="eastAsia" w:ascii="宋体"/>
          <w:snapToGrid w:val="0"/>
          <w:color w:val="auto"/>
          <w:kern w:val="0"/>
          <w:sz w:val="28"/>
        </w:rPr>
        <w:t>），被授权人有权签署投标文件和与投标有关其他文件，及处理与投标有关的一切事宜，被授权人无权转委托。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7"/>
        <w:tabs>
          <w:tab w:val="center" w:pos="4111"/>
        </w:tabs>
        <w:rPr>
          <w:color w:val="auto"/>
        </w:rPr>
      </w:pPr>
      <w:bookmarkStart w:id="46" w:name="_Toc410144152"/>
      <w:bookmarkStart w:id="47" w:name="_Toc410142652"/>
      <w:bookmarkStart w:id="48" w:name="_Toc19916"/>
      <w:bookmarkStart w:id="49" w:name="_Toc410142029"/>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7"/>
        <w:tabs>
          <w:tab w:val="center" w:pos="4111"/>
        </w:tabs>
        <w:rPr>
          <w:color w:val="auto"/>
        </w:rPr>
      </w:pPr>
      <w:r>
        <w:rPr>
          <w:color w:val="auto"/>
        </w:rPr>
        <w:br w:type="page"/>
      </w:r>
      <w:bookmarkStart w:id="50" w:name="_Toc410144153"/>
      <w:bookmarkStart w:id="51" w:name="_Toc410142030"/>
      <w:bookmarkStart w:id="52" w:name="_Toc31735"/>
      <w:bookmarkStart w:id="53" w:name="_Toc410142653"/>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rPr>
        <w:t>202</w:t>
      </w:r>
      <w:r>
        <w:rPr>
          <w:rFonts w:hint="eastAsia" w:ascii="宋体"/>
          <w:bCs/>
          <w:color w:val="auto"/>
          <w:sz w:val="28"/>
          <w:szCs w:val="28"/>
          <w:lang w:val="en-US" w:eastAsia="zh-CN"/>
        </w:rPr>
        <w:t>6</w:t>
      </w:r>
      <w:r>
        <w:rPr>
          <w:rFonts w:hint="eastAsia" w:ascii="宋体"/>
          <w:bCs/>
          <w:color w:val="auto"/>
          <w:sz w:val="28"/>
          <w:szCs w:val="28"/>
        </w:rPr>
        <w:t>年</w:t>
      </w:r>
      <w:r>
        <w:rPr>
          <w:rFonts w:hint="eastAsia" w:ascii="宋体"/>
          <w:bCs/>
          <w:color w:val="auto"/>
          <w:sz w:val="28"/>
          <w:szCs w:val="28"/>
          <w:lang w:eastAsia="zh-CN"/>
        </w:rPr>
        <w:t>0</w:t>
      </w:r>
      <w:r>
        <w:rPr>
          <w:rFonts w:hint="eastAsia" w:ascii="宋体"/>
          <w:bCs/>
          <w:color w:val="auto"/>
          <w:sz w:val="28"/>
          <w:szCs w:val="28"/>
          <w:lang w:val="en-US" w:eastAsia="zh-CN"/>
        </w:rPr>
        <w:t>8</w:t>
      </w:r>
      <w:r>
        <w:rPr>
          <w:rFonts w:hint="eastAsia" w:ascii="宋体"/>
          <w:bCs/>
          <w:color w:val="auto"/>
          <w:sz w:val="28"/>
          <w:szCs w:val="28"/>
          <w:lang w:eastAsia="zh-CN"/>
        </w:rPr>
        <w:t>月</w:t>
      </w:r>
      <w:r>
        <w:rPr>
          <w:rFonts w:hint="eastAsia" w:ascii="宋体"/>
          <w:bCs/>
          <w:color w:val="auto"/>
          <w:sz w:val="28"/>
          <w:szCs w:val="28"/>
          <w:lang w:val="en-US" w:eastAsia="zh-CN"/>
        </w:rPr>
        <w:t>26</w:t>
      </w:r>
      <w:r>
        <w:rPr>
          <w:rFonts w:hint="eastAsia" w:ascii="宋体"/>
          <w:bCs/>
          <w:color w:val="auto"/>
          <w:sz w:val="28"/>
          <w:szCs w:val="28"/>
          <w:lang w:eastAsia="zh-CN"/>
        </w:rPr>
        <w:t>日</w:t>
      </w:r>
      <w:r>
        <w:rPr>
          <w:rFonts w:hint="eastAsia" w:ascii="宋体"/>
          <w:snapToGrid w:val="0"/>
          <w:color w:val="auto"/>
          <w:kern w:val="0"/>
          <w:sz w:val="28"/>
          <w:szCs w:val="28"/>
        </w:rPr>
        <w:t>招标编号为（</w:t>
      </w:r>
      <w:r>
        <w:rPr>
          <w:rFonts w:hint="eastAsia" w:asciiTheme="minorEastAsia" w:hAnsiTheme="minorEastAsia"/>
          <w:color w:val="auto"/>
          <w:szCs w:val="21"/>
          <w:lang w:eastAsia="zh-CN"/>
        </w:rPr>
        <w:t>TRHG-2026-017</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7"/>
        <w:tabs>
          <w:tab w:val="center" w:pos="4111"/>
        </w:tabs>
        <w:rPr>
          <w:rFonts w:hint="eastAsia" w:hAnsi="宋体"/>
          <w:color w:val="auto"/>
        </w:rPr>
      </w:pPr>
      <w:r>
        <w:rPr>
          <w:color w:val="auto"/>
        </w:rPr>
        <w:br w:type="page"/>
      </w:r>
      <w:bookmarkStart w:id="54" w:name="_Toc27956"/>
      <w:bookmarkStart w:id="55" w:name="_Toc410142654"/>
      <w:bookmarkStart w:id="56" w:name="_Toc410142031"/>
      <w:bookmarkStart w:id="57" w:name="_Toc410144154"/>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8"/>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7"/>
        <w:tabs>
          <w:tab w:val="center" w:pos="4253"/>
        </w:tabs>
        <w:rPr>
          <w:color w:val="auto"/>
        </w:rPr>
      </w:pPr>
      <w:r>
        <w:rPr>
          <w:color w:val="auto"/>
        </w:rPr>
        <w:br w:type="page"/>
      </w:r>
      <w:bookmarkStart w:id="58" w:name="_Toc18423"/>
      <w:bookmarkStart w:id="59" w:name="_Toc410142032"/>
      <w:bookmarkStart w:id="60" w:name="_Toc410142655"/>
      <w:bookmarkStart w:id="61" w:name="_Toc410144155"/>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7"/>
        <w:tabs>
          <w:tab w:val="center" w:pos="4253"/>
        </w:tabs>
        <w:rPr>
          <w:color w:val="auto"/>
        </w:rPr>
      </w:pPr>
      <w:r>
        <w:rPr>
          <w:color w:val="auto"/>
        </w:rPr>
        <w:br w:type="page"/>
      </w:r>
      <w:bookmarkStart w:id="62" w:name="_Toc410142656"/>
      <w:bookmarkStart w:id="63" w:name="_Toc410144156"/>
      <w:bookmarkStart w:id="64" w:name="_Toc410142033"/>
      <w:bookmarkStart w:id="65" w:name="_Toc1840"/>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6"/>
        <w:rPr>
          <w:color w:val="auto"/>
        </w:rPr>
      </w:pPr>
      <w:r>
        <w:rPr>
          <w:rFonts w:ascii="黑体" w:hAnsi="宋体"/>
          <w:color w:val="auto"/>
        </w:rPr>
        <w:br w:type="page"/>
      </w:r>
      <w:bookmarkStart w:id="66" w:name="_Toc410142034"/>
      <w:bookmarkStart w:id="67" w:name="_Toc2606"/>
      <w:bookmarkStart w:id="68" w:name="_Toc410144157"/>
      <w:bookmarkStart w:id="69" w:name="_Toc409991186"/>
      <w:bookmarkStart w:id="70" w:name="_Toc415000753"/>
      <w:bookmarkStart w:id="71" w:name="_Toc409991270"/>
      <w:r>
        <w:rPr>
          <w:rFonts w:hint="eastAsia"/>
          <w:color w:val="auto"/>
        </w:rPr>
        <w:t>（二）技术响应</w:t>
      </w:r>
      <w:bookmarkEnd w:id="66"/>
      <w:bookmarkEnd w:id="67"/>
      <w:bookmarkEnd w:id="68"/>
      <w:bookmarkEnd w:id="69"/>
      <w:bookmarkEnd w:id="70"/>
      <w:bookmarkEnd w:id="71"/>
    </w:p>
    <w:p w14:paraId="30785D61">
      <w:pPr>
        <w:pStyle w:val="7"/>
        <w:tabs>
          <w:tab w:val="center" w:pos="4253"/>
        </w:tabs>
        <w:rPr>
          <w:color w:val="auto"/>
        </w:rPr>
      </w:pPr>
      <w:bookmarkStart w:id="72" w:name="_Toc29093"/>
      <w:bookmarkStart w:id="73" w:name="_Toc410144158"/>
      <w:bookmarkStart w:id="74" w:name="_Toc410142035"/>
      <w:bookmarkStart w:id="75" w:name="_Toc410142658"/>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TRHG-2026-017</w:t>
      </w:r>
    </w:p>
    <w:p w14:paraId="694EF933">
      <w:pPr>
        <w:pStyle w:val="3"/>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7"/>
        <w:tabs>
          <w:tab w:val="center" w:pos="4253"/>
        </w:tabs>
        <w:rPr>
          <w:rFonts w:hint="eastAsia" w:ascii="黑体" w:eastAsia="黑体"/>
          <w:color w:val="auto"/>
          <w:sz w:val="32"/>
        </w:rPr>
      </w:pPr>
      <w:r>
        <w:rPr>
          <w:color w:val="auto"/>
        </w:rPr>
        <w:br w:type="page"/>
      </w:r>
      <w:bookmarkStart w:id="76" w:name="_Toc4763"/>
      <w:bookmarkStart w:id="77" w:name="_Toc415000755"/>
      <w:bookmarkStart w:id="78" w:name="_Toc410142036"/>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eastAsia" w:ascii="黑体" w:eastAsiaTheme="minorEastAsia"/>
          <w:color w:val="auto"/>
          <w:sz w:val="32"/>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TRHG-2026-017</w:t>
      </w:r>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7"/>
        <w:tabs>
          <w:tab w:val="center" w:pos="4253"/>
        </w:tabs>
        <w:rPr>
          <w:rFonts w:hint="eastAsia" w:ascii="黑体" w:eastAsia="黑体"/>
          <w:color w:val="auto"/>
          <w:sz w:val="32"/>
        </w:rPr>
      </w:pPr>
      <w:r>
        <w:rPr>
          <w:color w:val="auto"/>
        </w:rPr>
        <w:br w:type="page"/>
      </w:r>
      <w:bookmarkStart w:id="79" w:name="_Toc410142037"/>
      <w:bookmarkStart w:id="80" w:name="_Toc415000756"/>
      <w:bookmarkStart w:id="81" w:name="_Toc28574"/>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eastAsia" w:ascii="宋体" w:eastAsiaTheme="minorEastAsia"/>
          <w:color w:val="auto"/>
          <w:sz w:val="28"/>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TRHG-2026-017</w:t>
      </w:r>
    </w:p>
    <w:tbl>
      <w:tblPr>
        <w:tblStyle w:val="28"/>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7"/>
        <w:tabs>
          <w:tab w:val="center" w:pos="4253"/>
        </w:tabs>
        <w:rPr>
          <w:color w:val="auto"/>
        </w:rPr>
      </w:pPr>
      <w:bookmarkStart w:id="82" w:name="_Toc410142661"/>
      <w:bookmarkStart w:id="83" w:name="_Toc410144161"/>
      <w:bookmarkStart w:id="84" w:name="_Toc1811"/>
      <w:bookmarkStart w:id="85" w:name="_Toc410142038"/>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5</w:t>
      </w:r>
      <w:r>
        <w:rPr>
          <w:rFonts w:hint="eastAsia" w:ascii="黑体" w:eastAsia="黑体"/>
          <w:color w:val="auto"/>
        </w:rPr>
        <w:t>年行业内相同或类似型号产品业绩表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color w:val="auto"/>
          <w:szCs w:val="21"/>
          <w:lang w:eastAsia="zh-CN"/>
        </w:rPr>
        <w:t>TRHG-2026-017</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8"/>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2.须提供必要的合同证明材料。</w:t>
      </w:r>
    </w:p>
    <w:p w14:paraId="77B72896">
      <w:pPr>
        <w:adjustRightInd w:val="0"/>
        <w:snapToGrid w:val="0"/>
        <w:spacing w:line="360" w:lineRule="auto"/>
        <w:ind w:left="1079" w:leftChars="228" w:hanging="600" w:hangingChars="250"/>
        <w:rPr>
          <w:rFonts w:ascii="宋体"/>
          <w:color w:val="auto"/>
          <w:sz w:val="24"/>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4"/>
        </w:rPr>
        <w:t>3.合同总价为必填项。</w:t>
      </w:r>
    </w:p>
    <w:p w14:paraId="38B378A7">
      <w:pPr>
        <w:pStyle w:val="7"/>
        <w:tabs>
          <w:tab w:val="center" w:pos="4111"/>
        </w:tabs>
        <w:rPr>
          <w:color w:val="auto"/>
        </w:rPr>
      </w:pPr>
      <w:bookmarkStart w:id="86" w:name="_Toc410144163"/>
      <w:bookmarkStart w:id="87" w:name="_Toc410142663"/>
      <w:bookmarkStart w:id="88" w:name="_Toc10919"/>
      <w:bookmarkStart w:id="89" w:name="_Toc410142040"/>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color w:val="auto"/>
          <w:szCs w:val="21"/>
          <w:lang w:eastAsia="zh-CN"/>
        </w:rPr>
        <w:t>TRHG-2026-017</w:t>
      </w:r>
    </w:p>
    <w:p w14:paraId="47A9659D">
      <w:pPr>
        <w:pStyle w:val="3"/>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7"/>
        <w:tabs>
          <w:tab w:val="center" w:pos="4253"/>
        </w:tabs>
        <w:rPr>
          <w:rFonts w:ascii="宋体"/>
          <w:color w:val="auto"/>
        </w:rPr>
      </w:pPr>
      <w:r>
        <w:rPr>
          <w:rFonts w:hAnsi="宋体"/>
          <w:color w:val="auto"/>
        </w:rPr>
        <w:br w:type="page"/>
      </w:r>
    </w:p>
    <w:p w14:paraId="6A00DB71">
      <w:pPr>
        <w:pStyle w:val="7"/>
        <w:tabs>
          <w:tab w:val="center" w:pos="0"/>
          <w:tab w:val="center" w:pos="4111"/>
          <w:tab w:val="center" w:pos="6663"/>
        </w:tabs>
        <w:rPr>
          <w:rFonts w:hint="eastAsia" w:ascii="黑体" w:eastAsia="黑体"/>
          <w:color w:val="auto"/>
          <w:sz w:val="32"/>
        </w:rPr>
      </w:pPr>
      <w:bookmarkStart w:id="91" w:name="_Toc25025"/>
      <w:bookmarkStart w:id="92" w:name="_Toc410144166"/>
      <w:bookmarkStart w:id="93" w:name="_Toc410142043"/>
      <w:bookmarkStart w:id="94" w:name="_Toc410142666"/>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TRHG-2026-017</w:t>
      </w:r>
    </w:p>
    <w:tbl>
      <w:tblPr>
        <w:tblStyle w:val="28"/>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7"/>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TRHG-2026-017</w:t>
      </w:r>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7"/>
        <w:tabs>
          <w:tab w:val="center" w:pos="4253"/>
        </w:tabs>
        <w:rPr>
          <w:rFonts w:hint="eastAsia" w:ascii="黑体" w:eastAsia="黑体"/>
          <w:color w:val="auto"/>
          <w:sz w:val="32"/>
        </w:rPr>
      </w:pPr>
      <w:bookmarkStart w:id="96" w:name="_Toc410144167"/>
      <w:bookmarkStart w:id="97" w:name="_Toc410142044"/>
      <w:bookmarkStart w:id="98" w:name="_Toc24644"/>
      <w:bookmarkStart w:id="99" w:name="_Toc410142667"/>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TRHG-2026-017</w:t>
      </w:r>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5"/>
        <w:rPr>
          <w:color w:val="auto"/>
        </w:rPr>
      </w:pPr>
      <w:bookmarkStart w:id="100" w:name="_Toc409991187"/>
      <w:bookmarkStart w:id="101" w:name="_Toc20272"/>
      <w:bookmarkStart w:id="102" w:name="_Toc409991271"/>
      <w:bookmarkStart w:id="103" w:name="_Toc415000768"/>
      <w:bookmarkStart w:id="104" w:name="_Toc410142049"/>
      <w:r>
        <w:rPr>
          <w:rFonts w:hint="eastAsia"/>
          <w:color w:val="auto"/>
        </w:rPr>
        <w:t>二、商务投标文件</w:t>
      </w:r>
      <w:bookmarkEnd w:id="100"/>
      <w:bookmarkEnd w:id="101"/>
      <w:bookmarkEnd w:id="102"/>
      <w:bookmarkEnd w:id="103"/>
      <w:bookmarkEnd w:id="104"/>
    </w:p>
    <w:p w14:paraId="011DC259">
      <w:pPr>
        <w:pStyle w:val="7"/>
        <w:tabs>
          <w:tab w:val="center" w:pos="5103"/>
        </w:tabs>
        <w:jc w:val="center"/>
        <w:rPr>
          <w:color w:val="auto"/>
          <w:sz w:val="36"/>
        </w:rPr>
      </w:pPr>
      <w:bookmarkStart w:id="105" w:name="_Toc20756"/>
      <w:bookmarkStart w:id="106" w:name="_Toc410142673"/>
      <w:bookmarkStart w:id="107" w:name="_Toc410144173"/>
      <w:bookmarkStart w:id="108" w:name="_Toc410142050"/>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原乳液车间尾气处理系统采购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color w:val="auto"/>
          <w:szCs w:val="21"/>
          <w:lang w:eastAsia="zh-CN"/>
        </w:rPr>
        <w:t>TRHG-2026-017</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2051"/>
      <w:bookmarkStart w:id="110" w:name="_Toc410144174"/>
      <w:bookmarkStart w:id="111" w:name="_Toc410142674"/>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4、投标有效期为自开标之日起90天有效。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pgBorders>
            <w:top w:val="none" w:sz="0" w:space="0"/>
            <w:left w:val="none" w:sz="0" w:space="0"/>
            <w:bottom w:val="none" w:sz="0" w:space="0"/>
            <w:right w:val="none" w:sz="0" w:space="0"/>
          </w:pgBorders>
          <w:cols w:space="720" w:num="1"/>
          <w:docGrid w:type="lines" w:linePitch="312" w:charSpace="0"/>
        </w:sectPr>
      </w:pPr>
    </w:p>
    <w:p w14:paraId="26DAFBEF">
      <w:pPr>
        <w:pStyle w:val="7"/>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color w:val="auto"/>
          <w:szCs w:val="21"/>
          <w:lang w:eastAsia="zh-CN"/>
        </w:rPr>
        <w:t>TRHG-2026-017</w:t>
      </w:r>
      <w:r>
        <w:rPr>
          <w:rFonts w:hint="eastAsia" w:ascii="宋体"/>
          <w:color w:val="auto"/>
          <w:sz w:val="28"/>
        </w:rPr>
        <w:tab/>
      </w:r>
      <w:r>
        <w:rPr>
          <w:rFonts w:hint="eastAsia" w:ascii="宋体"/>
          <w:color w:val="auto"/>
          <w:sz w:val="28"/>
        </w:rPr>
        <w:t>单位（万元）</w:t>
      </w:r>
    </w:p>
    <w:tbl>
      <w:tblPr>
        <w:tblStyle w:val="28"/>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pgBorders>
            <w:top w:val="none" w:sz="0" w:space="0"/>
            <w:left w:val="none" w:sz="0" w:space="0"/>
            <w:bottom w:val="none" w:sz="0" w:space="0"/>
            <w:right w:val="none" w:sz="0" w:space="0"/>
          </w:pgBorders>
          <w:cols w:space="425" w:num="1"/>
          <w:docGrid w:type="lines" w:linePitch="312" w:charSpace="0"/>
        </w:sectPr>
      </w:pPr>
    </w:p>
    <w:p w14:paraId="64F2D8FB">
      <w:pPr>
        <w:pStyle w:val="7"/>
        <w:tabs>
          <w:tab w:val="center" w:pos="4253"/>
        </w:tabs>
        <w:jc w:val="center"/>
        <w:rPr>
          <w:rFonts w:ascii="黑体" w:eastAsia="黑体"/>
          <w:color w:val="auto"/>
          <w:sz w:val="32"/>
        </w:rPr>
      </w:pPr>
      <w:bookmarkStart w:id="113" w:name="_Toc410142052"/>
      <w:bookmarkStart w:id="114" w:name="_Toc22757"/>
      <w:bookmarkStart w:id="115" w:name="_Toc410144175"/>
      <w:bookmarkStart w:id="116" w:name="_Toc410142675"/>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color w:val="auto"/>
          <w:szCs w:val="21"/>
          <w:lang w:eastAsia="zh-CN"/>
        </w:rPr>
        <w:t>TRHG-2026-017</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8"/>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4176"/>
      <w:bookmarkStart w:id="118" w:name="_Toc410142676"/>
      <w:bookmarkStart w:id="119" w:name="_Toc410142053"/>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7"/>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pgBorders>
            <w:top w:val="none" w:sz="0" w:space="0"/>
            <w:left w:val="none" w:sz="0" w:space="0"/>
            <w:bottom w:val="none" w:sz="0" w:space="0"/>
            <w:right w:val="none" w:sz="0" w:space="0"/>
          </w:pgBorders>
          <w:cols w:space="425" w:num="1"/>
          <w:docGrid w:type="lines" w:linePitch="312" w:charSpace="0"/>
        </w:sectPr>
      </w:pPr>
      <w:bookmarkStart w:id="120" w:name="_Toc415000772"/>
    </w:p>
    <w:p w14:paraId="4E537EEC">
      <w:pPr>
        <w:pStyle w:val="7"/>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eastAsia"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color w:val="auto"/>
          <w:szCs w:val="21"/>
          <w:lang w:eastAsia="zh-CN"/>
        </w:rPr>
        <w:t>TRHG-2026-017</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8"/>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7"/>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原乳液车间尾气处理系统采购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color w:val="auto"/>
          <w:szCs w:val="21"/>
          <w:lang w:eastAsia="zh-CN"/>
        </w:rPr>
        <w:t>TRHG-2026-017</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年  月  日</w:t>
      </w:r>
    </w:p>
    <w:p w14:paraId="62FD0CE2">
      <w:pPr>
        <w:rPr>
          <w:color w:val="auto"/>
        </w:rPr>
      </w:pPr>
    </w:p>
    <w:p w14:paraId="150E0EED">
      <w:pPr>
        <w:rPr>
          <w:color w:val="auto"/>
        </w:rPr>
      </w:pPr>
    </w:p>
    <w:sectPr>
      <w:headerReference r:id="rId20" w:type="default"/>
      <w:footerReference r:id="rId21"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20"/>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14:paraId="16B58ACE">
    <w:pPr>
      <w:pStyle w:val="2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20"/>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2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20"/>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20"/>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14:paraId="3254A2D0">
    <w:pPr>
      <w:pStyle w:val="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2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20"/>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20"/>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20"/>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14:paraId="46935FEE">
    <w:pPr>
      <w:pStyle w:val="2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2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21"/>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21"/>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21"/>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21"/>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21"/>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w:t>
    </w:r>
    <w:r>
      <w:rPr>
        <w:rFonts w:hint="eastAsia"/>
        <w:color w:val="FF0000"/>
        <w:u w:val="single"/>
        <w:lang w:eastAsia="zh-CN"/>
      </w:rPr>
      <w:t>50</w:t>
    </w:r>
    <w:r>
      <w:rPr>
        <w:color w:val="FF0000"/>
        <w:u w:val="single"/>
      </w:rPr>
      <w:t>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21"/>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21"/>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21"/>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w:t>
    </w:r>
    <w:r>
      <w:rPr>
        <w:rFonts w:hint="eastAsia"/>
        <w:color w:val="FF0000"/>
        <w:u w:val="single"/>
        <w:lang w:eastAsia="zh-CN"/>
      </w:rPr>
      <w:t>50</w:t>
    </w:r>
    <w:r>
      <w:rPr>
        <w:color w:val="FF0000"/>
        <w:u w:val="single"/>
      </w:rPr>
      <w:t>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21"/>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0BF58211"/>
    <w:multiLevelType w:val="singleLevel"/>
    <w:tmpl w:val="0BF58211"/>
    <w:lvl w:ilvl="0" w:tentative="0">
      <w:start w:val="1"/>
      <w:numFmt w:val="decimal"/>
      <w:suff w:val="space"/>
      <w:lvlText w:val="%1."/>
      <w:lvlJc w:val="left"/>
    </w:lvl>
  </w:abstractNum>
  <w:abstractNum w:abstractNumId="2">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20C6717E"/>
    <w:multiLevelType w:val="singleLevel"/>
    <w:tmpl w:val="20C6717E"/>
    <w:lvl w:ilvl="0" w:tentative="0">
      <w:start w:val="1"/>
      <w:numFmt w:val="decimal"/>
      <w:lvlText w:val="%1."/>
      <w:lvlJc w:val="left"/>
      <w:pPr>
        <w:tabs>
          <w:tab w:val="left" w:pos="312"/>
        </w:tabs>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6">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9">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7"/>
  </w:num>
  <w:num w:numId="4">
    <w:abstractNumId w:val="4"/>
  </w:num>
  <w:num w:numId="5">
    <w:abstractNumId w:val="6"/>
  </w:num>
  <w:num w:numId="6">
    <w:abstractNumId w:val="5"/>
  </w:num>
  <w:num w:numId="7">
    <w:abstractNumId w:val="2"/>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F20C46"/>
    <w:rsid w:val="02377801"/>
    <w:rsid w:val="028E4D6B"/>
    <w:rsid w:val="038A0513"/>
    <w:rsid w:val="03CB5498"/>
    <w:rsid w:val="04663E6A"/>
    <w:rsid w:val="052676B9"/>
    <w:rsid w:val="058A7C48"/>
    <w:rsid w:val="059E4921"/>
    <w:rsid w:val="05A36F5B"/>
    <w:rsid w:val="05C45739"/>
    <w:rsid w:val="065A3ABE"/>
    <w:rsid w:val="077F1302"/>
    <w:rsid w:val="08CC660D"/>
    <w:rsid w:val="08D12032"/>
    <w:rsid w:val="08EF5238"/>
    <w:rsid w:val="09510D55"/>
    <w:rsid w:val="09585174"/>
    <w:rsid w:val="09A74AEC"/>
    <w:rsid w:val="09C76A84"/>
    <w:rsid w:val="09CB5DE9"/>
    <w:rsid w:val="09DD0FFE"/>
    <w:rsid w:val="09E242A6"/>
    <w:rsid w:val="0A243597"/>
    <w:rsid w:val="0A780920"/>
    <w:rsid w:val="0A851326"/>
    <w:rsid w:val="0A9358E8"/>
    <w:rsid w:val="0B400DA6"/>
    <w:rsid w:val="0B4372B0"/>
    <w:rsid w:val="0BC639A4"/>
    <w:rsid w:val="0BD065D0"/>
    <w:rsid w:val="0C493642"/>
    <w:rsid w:val="0C662A91"/>
    <w:rsid w:val="0C7065E6"/>
    <w:rsid w:val="0C800229"/>
    <w:rsid w:val="0C984CDB"/>
    <w:rsid w:val="0CA072C0"/>
    <w:rsid w:val="0CD81BE1"/>
    <w:rsid w:val="0CD8573D"/>
    <w:rsid w:val="0CD914B5"/>
    <w:rsid w:val="0CF32576"/>
    <w:rsid w:val="0D4548C2"/>
    <w:rsid w:val="0DBF25EE"/>
    <w:rsid w:val="0DD300B2"/>
    <w:rsid w:val="0E220FE6"/>
    <w:rsid w:val="0E506DB7"/>
    <w:rsid w:val="0EFC09A9"/>
    <w:rsid w:val="0F154619"/>
    <w:rsid w:val="0F7D6CDF"/>
    <w:rsid w:val="0F934627"/>
    <w:rsid w:val="0FA43FFC"/>
    <w:rsid w:val="10141182"/>
    <w:rsid w:val="108325C8"/>
    <w:rsid w:val="10A2232D"/>
    <w:rsid w:val="11266001"/>
    <w:rsid w:val="11EB3362"/>
    <w:rsid w:val="11F36B75"/>
    <w:rsid w:val="12957C2C"/>
    <w:rsid w:val="135B2888"/>
    <w:rsid w:val="143F42F3"/>
    <w:rsid w:val="168567F5"/>
    <w:rsid w:val="16A80132"/>
    <w:rsid w:val="16BE59A3"/>
    <w:rsid w:val="173B4A90"/>
    <w:rsid w:val="177471B6"/>
    <w:rsid w:val="17805D45"/>
    <w:rsid w:val="17A34B99"/>
    <w:rsid w:val="18015B6E"/>
    <w:rsid w:val="180B10BC"/>
    <w:rsid w:val="18730A0F"/>
    <w:rsid w:val="18E92A80"/>
    <w:rsid w:val="19026D30"/>
    <w:rsid w:val="19113D5F"/>
    <w:rsid w:val="19420159"/>
    <w:rsid w:val="194F5876"/>
    <w:rsid w:val="195913FA"/>
    <w:rsid w:val="19BF3C83"/>
    <w:rsid w:val="19C91969"/>
    <w:rsid w:val="19E719CA"/>
    <w:rsid w:val="1A601DE9"/>
    <w:rsid w:val="1A606D71"/>
    <w:rsid w:val="1AFC1190"/>
    <w:rsid w:val="1BB158AD"/>
    <w:rsid w:val="1BE14B62"/>
    <w:rsid w:val="1C1C1E05"/>
    <w:rsid w:val="1C393515"/>
    <w:rsid w:val="1CE57F18"/>
    <w:rsid w:val="1CF865A8"/>
    <w:rsid w:val="1D2030BF"/>
    <w:rsid w:val="1D23742E"/>
    <w:rsid w:val="1E733D65"/>
    <w:rsid w:val="1E990AA4"/>
    <w:rsid w:val="1EB83BDA"/>
    <w:rsid w:val="1EE13EC7"/>
    <w:rsid w:val="1F07086C"/>
    <w:rsid w:val="1F3E7310"/>
    <w:rsid w:val="1FC53527"/>
    <w:rsid w:val="206375BB"/>
    <w:rsid w:val="20693422"/>
    <w:rsid w:val="2080479F"/>
    <w:rsid w:val="20AA343C"/>
    <w:rsid w:val="210C7C53"/>
    <w:rsid w:val="212136FE"/>
    <w:rsid w:val="215C2350"/>
    <w:rsid w:val="219C0FD7"/>
    <w:rsid w:val="21F11323"/>
    <w:rsid w:val="221B063A"/>
    <w:rsid w:val="223B5680"/>
    <w:rsid w:val="223B7A94"/>
    <w:rsid w:val="22C53076"/>
    <w:rsid w:val="23732581"/>
    <w:rsid w:val="24125430"/>
    <w:rsid w:val="242913A3"/>
    <w:rsid w:val="24343C56"/>
    <w:rsid w:val="246D27B7"/>
    <w:rsid w:val="24AA7567"/>
    <w:rsid w:val="24DB2630"/>
    <w:rsid w:val="25063A83"/>
    <w:rsid w:val="250B7FF3"/>
    <w:rsid w:val="256C6F12"/>
    <w:rsid w:val="257A518B"/>
    <w:rsid w:val="25B73093"/>
    <w:rsid w:val="25B74631"/>
    <w:rsid w:val="25DA20CE"/>
    <w:rsid w:val="25EE5740"/>
    <w:rsid w:val="2646071A"/>
    <w:rsid w:val="2734560A"/>
    <w:rsid w:val="27654C3A"/>
    <w:rsid w:val="281D44F4"/>
    <w:rsid w:val="282835C4"/>
    <w:rsid w:val="28AD3ACA"/>
    <w:rsid w:val="29B93F54"/>
    <w:rsid w:val="2A6E1037"/>
    <w:rsid w:val="2A7E64C3"/>
    <w:rsid w:val="2A830F86"/>
    <w:rsid w:val="2BE2348E"/>
    <w:rsid w:val="2BF832AE"/>
    <w:rsid w:val="2C60378F"/>
    <w:rsid w:val="2D434DF2"/>
    <w:rsid w:val="2D7828F8"/>
    <w:rsid w:val="2DAE2D4D"/>
    <w:rsid w:val="2DF00EEA"/>
    <w:rsid w:val="2E1974D7"/>
    <w:rsid w:val="2ED753FC"/>
    <w:rsid w:val="2F4607D4"/>
    <w:rsid w:val="2F4F7689"/>
    <w:rsid w:val="2F5E5B1E"/>
    <w:rsid w:val="2F8A246F"/>
    <w:rsid w:val="307922B7"/>
    <w:rsid w:val="30974823"/>
    <w:rsid w:val="30DD6739"/>
    <w:rsid w:val="315F0B1C"/>
    <w:rsid w:val="31615567"/>
    <w:rsid w:val="31B639EF"/>
    <w:rsid w:val="32607DFF"/>
    <w:rsid w:val="3268280F"/>
    <w:rsid w:val="326E42CA"/>
    <w:rsid w:val="32A92D2C"/>
    <w:rsid w:val="32D212F4"/>
    <w:rsid w:val="32DB4D32"/>
    <w:rsid w:val="334E7ECF"/>
    <w:rsid w:val="335A2AA0"/>
    <w:rsid w:val="335D7E9A"/>
    <w:rsid w:val="337D0287"/>
    <w:rsid w:val="33884F17"/>
    <w:rsid w:val="345474EF"/>
    <w:rsid w:val="34583581"/>
    <w:rsid w:val="350520AF"/>
    <w:rsid w:val="352256B5"/>
    <w:rsid w:val="35597098"/>
    <w:rsid w:val="358132C0"/>
    <w:rsid w:val="35CD47D7"/>
    <w:rsid w:val="366003CD"/>
    <w:rsid w:val="36E43A34"/>
    <w:rsid w:val="37B926FB"/>
    <w:rsid w:val="38726196"/>
    <w:rsid w:val="38944D54"/>
    <w:rsid w:val="38C03479"/>
    <w:rsid w:val="38CE5AC2"/>
    <w:rsid w:val="391B43EE"/>
    <w:rsid w:val="39DE703E"/>
    <w:rsid w:val="39E66F2C"/>
    <w:rsid w:val="39FD336A"/>
    <w:rsid w:val="3A101EE2"/>
    <w:rsid w:val="3A655221"/>
    <w:rsid w:val="3A7E0E22"/>
    <w:rsid w:val="3AAB6B8E"/>
    <w:rsid w:val="3AFE2040"/>
    <w:rsid w:val="3BD61A46"/>
    <w:rsid w:val="3BD742AF"/>
    <w:rsid w:val="3C247F86"/>
    <w:rsid w:val="3D741F62"/>
    <w:rsid w:val="3D9B65FB"/>
    <w:rsid w:val="3DB002C5"/>
    <w:rsid w:val="3E010953"/>
    <w:rsid w:val="3E067AAC"/>
    <w:rsid w:val="3E22584D"/>
    <w:rsid w:val="3F1A07FC"/>
    <w:rsid w:val="3FBB208F"/>
    <w:rsid w:val="40074EAB"/>
    <w:rsid w:val="4056514A"/>
    <w:rsid w:val="406960D0"/>
    <w:rsid w:val="40700D92"/>
    <w:rsid w:val="40D35C58"/>
    <w:rsid w:val="40E417BE"/>
    <w:rsid w:val="416845DA"/>
    <w:rsid w:val="41722EB8"/>
    <w:rsid w:val="41E51C11"/>
    <w:rsid w:val="41E53E7C"/>
    <w:rsid w:val="429A3153"/>
    <w:rsid w:val="432418B7"/>
    <w:rsid w:val="43453FEA"/>
    <w:rsid w:val="439E05AF"/>
    <w:rsid w:val="441A33DA"/>
    <w:rsid w:val="444729ED"/>
    <w:rsid w:val="444F55DD"/>
    <w:rsid w:val="44B4777C"/>
    <w:rsid w:val="452A32B8"/>
    <w:rsid w:val="45367494"/>
    <w:rsid w:val="45416239"/>
    <w:rsid w:val="45AB59AE"/>
    <w:rsid w:val="460E5854"/>
    <w:rsid w:val="4622025B"/>
    <w:rsid w:val="463506C0"/>
    <w:rsid w:val="46431B75"/>
    <w:rsid w:val="466435FC"/>
    <w:rsid w:val="468C424A"/>
    <w:rsid w:val="47317659"/>
    <w:rsid w:val="473C453F"/>
    <w:rsid w:val="47787DD0"/>
    <w:rsid w:val="483D3BB7"/>
    <w:rsid w:val="48BD2168"/>
    <w:rsid w:val="48C12F4D"/>
    <w:rsid w:val="48E40947"/>
    <w:rsid w:val="49105C83"/>
    <w:rsid w:val="494D2A33"/>
    <w:rsid w:val="495E079C"/>
    <w:rsid w:val="49933B3B"/>
    <w:rsid w:val="49AF6C96"/>
    <w:rsid w:val="49BE6419"/>
    <w:rsid w:val="4BCA6ACD"/>
    <w:rsid w:val="4BD45EA7"/>
    <w:rsid w:val="4BDC646C"/>
    <w:rsid w:val="4BEE476E"/>
    <w:rsid w:val="4C2C76C2"/>
    <w:rsid w:val="4C417D2D"/>
    <w:rsid w:val="4CFD207A"/>
    <w:rsid w:val="4D704F42"/>
    <w:rsid w:val="4DD32899"/>
    <w:rsid w:val="4DE6344D"/>
    <w:rsid w:val="4DF55447"/>
    <w:rsid w:val="4E0726AF"/>
    <w:rsid w:val="4E8D5680"/>
    <w:rsid w:val="4E9624CA"/>
    <w:rsid w:val="4EFA45AB"/>
    <w:rsid w:val="4F0771E0"/>
    <w:rsid w:val="4F5543EF"/>
    <w:rsid w:val="4FCB2E6F"/>
    <w:rsid w:val="50812FC2"/>
    <w:rsid w:val="51320E64"/>
    <w:rsid w:val="51DA55B9"/>
    <w:rsid w:val="51DB45F4"/>
    <w:rsid w:val="52CA6EA2"/>
    <w:rsid w:val="536C2239"/>
    <w:rsid w:val="539C2AB2"/>
    <w:rsid w:val="53FC752F"/>
    <w:rsid w:val="54173689"/>
    <w:rsid w:val="55284B87"/>
    <w:rsid w:val="55886BA1"/>
    <w:rsid w:val="55913CA7"/>
    <w:rsid w:val="55A51501"/>
    <w:rsid w:val="56981066"/>
    <w:rsid w:val="576E293E"/>
    <w:rsid w:val="5937122C"/>
    <w:rsid w:val="5952374E"/>
    <w:rsid w:val="598755EE"/>
    <w:rsid w:val="59BE79BC"/>
    <w:rsid w:val="59FF6425"/>
    <w:rsid w:val="5A9D4E9D"/>
    <w:rsid w:val="5AC25647"/>
    <w:rsid w:val="5B77749C"/>
    <w:rsid w:val="5BAC35E9"/>
    <w:rsid w:val="5BD8487B"/>
    <w:rsid w:val="5BDB09B2"/>
    <w:rsid w:val="5C014388"/>
    <w:rsid w:val="5D9B288C"/>
    <w:rsid w:val="5DD1318C"/>
    <w:rsid w:val="5DE54B90"/>
    <w:rsid w:val="5EB74A92"/>
    <w:rsid w:val="5F112E9B"/>
    <w:rsid w:val="5F2E213A"/>
    <w:rsid w:val="5F6E4894"/>
    <w:rsid w:val="5FD502D9"/>
    <w:rsid w:val="5FE13A7D"/>
    <w:rsid w:val="60FB46CB"/>
    <w:rsid w:val="611E7156"/>
    <w:rsid w:val="61361C90"/>
    <w:rsid w:val="61A5610F"/>
    <w:rsid w:val="61D83DAE"/>
    <w:rsid w:val="61FE4473"/>
    <w:rsid w:val="62121D78"/>
    <w:rsid w:val="623065F6"/>
    <w:rsid w:val="62826FAF"/>
    <w:rsid w:val="62A80882"/>
    <w:rsid w:val="632577F9"/>
    <w:rsid w:val="639550D2"/>
    <w:rsid w:val="639B04FC"/>
    <w:rsid w:val="63A71BF5"/>
    <w:rsid w:val="6401024A"/>
    <w:rsid w:val="6425175A"/>
    <w:rsid w:val="6441108B"/>
    <w:rsid w:val="64D433B9"/>
    <w:rsid w:val="653205B6"/>
    <w:rsid w:val="65B96E73"/>
    <w:rsid w:val="660507DB"/>
    <w:rsid w:val="66246CA2"/>
    <w:rsid w:val="662942A6"/>
    <w:rsid w:val="6686630A"/>
    <w:rsid w:val="66E155F0"/>
    <w:rsid w:val="672276E4"/>
    <w:rsid w:val="685541BA"/>
    <w:rsid w:val="685A617B"/>
    <w:rsid w:val="68C40B26"/>
    <w:rsid w:val="690D2C0C"/>
    <w:rsid w:val="69444C11"/>
    <w:rsid w:val="69835E08"/>
    <w:rsid w:val="69B16201"/>
    <w:rsid w:val="69E103BE"/>
    <w:rsid w:val="69EC374B"/>
    <w:rsid w:val="6A8D6CDC"/>
    <w:rsid w:val="6B090A33"/>
    <w:rsid w:val="6B42222A"/>
    <w:rsid w:val="6BD8245C"/>
    <w:rsid w:val="6BE65222"/>
    <w:rsid w:val="6C0B4E33"/>
    <w:rsid w:val="6C112440"/>
    <w:rsid w:val="6C5272D4"/>
    <w:rsid w:val="6D3F4808"/>
    <w:rsid w:val="6D425658"/>
    <w:rsid w:val="6D9A4379"/>
    <w:rsid w:val="6E1B015A"/>
    <w:rsid w:val="6E9248C1"/>
    <w:rsid w:val="6F6618A9"/>
    <w:rsid w:val="6F7C64AC"/>
    <w:rsid w:val="70047A93"/>
    <w:rsid w:val="700A0487"/>
    <w:rsid w:val="70384B79"/>
    <w:rsid w:val="703C72B6"/>
    <w:rsid w:val="70FB0BFC"/>
    <w:rsid w:val="710B5252"/>
    <w:rsid w:val="71AB709E"/>
    <w:rsid w:val="71D21478"/>
    <w:rsid w:val="71E06C05"/>
    <w:rsid w:val="72226BE2"/>
    <w:rsid w:val="72273B17"/>
    <w:rsid w:val="72A815C2"/>
    <w:rsid w:val="72C8016F"/>
    <w:rsid w:val="72D07765"/>
    <w:rsid w:val="737E57B9"/>
    <w:rsid w:val="73964DD4"/>
    <w:rsid w:val="73B47087"/>
    <w:rsid w:val="73BC13F1"/>
    <w:rsid w:val="73F55FED"/>
    <w:rsid w:val="74113D33"/>
    <w:rsid w:val="74B44463"/>
    <w:rsid w:val="74D80B53"/>
    <w:rsid w:val="74DB6BAE"/>
    <w:rsid w:val="75260653"/>
    <w:rsid w:val="752D2027"/>
    <w:rsid w:val="75973E47"/>
    <w:rsid w:val="759F29CA"/>
    <w:rsid w:val="762A3631"/>
    <w:rsid w:val="76B8706D"/>
    <w:rsid w:val="76D41BC5"/>
    <w:rsid w:val="76E131F8"/>
    <w:rsid w:val="7757037E"/>
    <w:rsid w:val="776830BC"/>
    <w:rsid w:val="785030F6"/>
    <w:rsid w:val="786C2D8B"/>
    <w:rsid w:val="78727511"/>
    <w:rsid w:val="789527BF"/>
    <w:rsid w:val="78A148CA"/>
    <w:rsid w:val="78B47FFD"/>
    <w:rsid w:val="78BB3A20"/>
    <w:rsid w:val="792D41F1"/>
    <w:rsid w:val="79D5009E"/>
    <w:rsid w:val="7A0759A7"/>
    <w:rsid w:val="7A2B5BC9"/>
    <w:rsid w:val="7A8F0792"/>
    <w:rsid w:val="7B7E04DE"/>
    <w:rsid w:val="7BEE6EAE"/>
    <w:rsid w:val="7C237406"/>
    <w:rsid w:val="7C3A20F4"/>
    <w:rsid w:val="7D740831"/>
    <w:rsid w:val="7D8255AF"/>
    <w:rsid w:val="7D985805"/>
    <w:rsid w:val="7DE335E9"/>
    <w:rsid w:val="7E4F7357"/>
    <w:rsid w:val="7EE747B5"/>
    <w:rsid w:val="7F1327B4"/>
    <w:rsid w:val="7F1D7989"/>
    <w:rsid w:val="7F4514DB"/>
    <w:rsid w:val="7F5756B2"/>
    <w:rsid w:val="7FA53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43"/>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5">
    <w:name w:val="heading 2"/>
    <w:basedOn w:val="1"/>
    <w:next w:val="1"/>
    <w:link w:val="44"/>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6">
    <w:name w:val="heading 3"/>
    <w:basedOn w:val="1"/>
    <w:next w:val="1"/>
    <w:link w:val="45"/>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7">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3"/>
    <w:qFormat/>
    <w:uiPriority w:val="0"/>
    <w:pPr>
      <w:spacing w:before="156" w:line="400" w:lineRule="exact"/>
      <w:ind w:firstLine="480"/>
    </w:pPr>
    <w:rPr>
      <w:rFonts w:ascii="宋体" w:cs="Times New Roman"/>
      <w:szCs w:val="20"/>
    </w:rPr>
  </w:style>
  <w:style w:type="paragraph" w:styleId="3">
    <w:name w:val="Body Text First Indent 2"/>
    <w:basedOn w:val="1"/>
    <w:next w:val="1"/>
    <w:link w:val="53"/>
    <w:autoRedefine/>
    <w:qFormat/>
    <w:uiPriority w:val="99"/>
    <w:pPr>
      <w:ind w:firstLine="420" w:firstLineChars="200"/>
    </w:pPr>
  </w:style>
  <w:style w:type="paragraph" w:styleId="8">
    <w:name w:val="toc 7"/>
    <w:basedOn w:val="1"/>
    <w:next w:val="1"/>
    <w:autoRedefine/>
    <w:unhideWhenUsed/>
    <w:qFormat/>
    <w:uiPriority w:val="39"/>
    <w:pPr>
      <w:ind w:left="2520" w:leftChars="1200"/>
    </w:pPr>
  </w:style>
  <w:style w:type="paragraph" w:styleId="9">
    <w:name w:val="Normal Indent"/>
    <w:basedOn w:val="1"/>
    <w:next w:val="3"/>
    <w:qFormat/>
    <w:uiPriority w:val="0"/>
    <w:pPr>
      <w:ind w:firstLine="420"/>
    </w:pPr>
  </w:style>
  <w:style w:type="paragraph" w:styleId="10">
    <w:name w:val="annotation text"/>
    <w:basedOn w:val="1"/>
    <w:link w:val="46"/>
    <w:autoRedefine/>
    <w:semiHidden/>
    <w:unhideWhenUsed/>
    <w:qFormat/>
    <w:uiPriority w:val="99"/>
    <w:pPr>
      <w:jc w:val="left"/>
    </w:pPr>
  </w:style>
  <w:style w:type="paragraph" w:styleId="11">
    <w:name w:val="Body Text 3"/>
    <w:basedOn w:val="1"/>
    <w:link w:val="47"/>
    <w:autoRedefine/>
    <w:qFormat/>
    <w:uiPriority w:val="0"/>
    <w:rPr>
      <w:rFonts w:ascii="宋体"/>
      <w:sz w:val="24"/>
      <w:szCs w:val="20"/>
    </w:rPr>
  </w:style>
  <w:style w:type="paragraph" w:styleId="12">
    <w:name w:val="Body Text"/>
    <w:basedOn w:val="1"/>
    <w:link w:val="48"/>
    <w:autoRedefine/>
    <w:qFormat/>
    <w:uiPriority w:val="0"/>
    <w:pPr>
      <w:spacing w:after="120"/>
    </w:pPr>
    <w:rPr>
      <w:rFonts w:ascii="@微软简标宋" w:hAnsi="@微软简标宋" w:eastAsia="@微软简标宋" w:cs="@微软简标宋"/>
      <w:szCs w:val="24"/>
      <w:lang w:val="zh-CN"/>
    </w:rPr>
  </w:style>
  <w:style w:type="paragraph" w:styleId="13">
    <w:name w:val="Body Text Indent"/>
    <w:basedOn w:val="1"/>
    <w:next w:val="14"/>
    <w:link w:val="49"/>
    <w:autoRedefine/>
    <w:qFormat/>
    <w:uiPriority w:val="0"/>
    <w:pPr>
      <w:spacing w:after="120"/>
      <w:ind w:left="420" w:leftChars="200"/>
    </w:pPr>
  </w:style>
  <w:style w:type="paragraph" w:styleId="14">
    <w:name w:val="envelope return"/>
    <w:basedOn w:val="1"/>
    <w:autoRedefine/>
    <w:qFormat/>
    <w:uiPriority w:val="99"/>
    <w:pPr>
      <w:snapToGrid w:val="0"/>
    </w:pPr>
    <w:rPr>
      <w:rFonts w:ascii="Arial" w:hAnsi="Arial"/>
    </w:rPr>
  </w:style>
  <w:style w:type="paragraph" w:styleId="15">
    <w:name w:val="toc 5"/>
    <w:basedOn w:val="1"/>
    <w:next w:val="1"/>
    <w:autoRedefine/>
    <w:unhideWhenUsed/>
    <w:qFormat/>
    <w:uiPriority w:val="39"/>
    <w:pPr>
      <w:ind w:left="1680" w:leftChars="800"/>
    </w:pPr>
  </w:style>
  <w:style w:type="paragraph" w:styleId="16">
    <w:name w:val="toc 3"/>
    <w:basedOn w:val="1"/>
    <w:next w:val="1"/>
    <w:autoRedefine/>
    <w:unhideWhenUsed/>
    <w:qFormat/>
    <w:uiPriority w:val="39"/>
    <w:pPr>
      <w:ind w:left="840" w:leftChars="400"/>
    </w:pPr>
  </w:style>
  <w:style w:type="paragraph" w:styleId="17">
    <w:name w:val="Plain Text"/>
    <w:basedOn w:val="1"/>
    <w:qFormat/>
    <w:uiPriority w:val="0"/>
    <w:rPr>
      <w:rFonts w:ascii="宋体" w:hAnsi="Courier New"/>
      <w:szCs w:val="21"/>
    </w:rPr>
  </w:style>
  <w:style w:type="paragraph" w:styleId="18">
    <w:name w:val="toc 8"/>
    <w:basedOn w:val="1"/>
    <w:next w:val="1"/>
    <w:autoRedefine/>
    <w:unhideWhenUsed/>
    <w:qFormat/>
    <w:uiPriority w:val="39"/>
    <w:pPr>
      <w:ind w:left="2940" w:leftChars="1400"/>
    </w:pPr>
  </w:style>
  <w:style w:type="paragraph" w:styleId="19">
    <w:name w:val="Balloon Text"/>
    <w:basedOn w:val="1"/>
    <w:link w:val="50"/>
    <w:autoRedefine/>
    <w:semiHidden/>
    <w:unhideWhenUsed/>
    <w:qFormat/>
    <w:uiPriority w:val="99"/>
    <w:rPr>
      <w:sz w:val="18"/>
      <w:szCs w:val="18"/>
    </w:rPr>
  </w:style>
  <w:style w:type="paragraph" w:styleId="20">
    <w:name w:val="footer"/>
    <w:basedOn w:val="1"/>
    <w:link w:val="51"/>
    <w:autoRedefine/>
    <w:unhideWhenUsed/>
    <w:qFormat/>
    <w:uiPriority w:val="99"/>
    <w:pPr>
      <w:tabs>
        <w:tab w:val="center" w:pos="4153"/>
        <w:tab w:val="right" w:pos="8306"/>
      </w:tabs>
      <w:snapToGrid w:val="0"/>
      <w:jc w:val="left"/>
    </w:pPr>
    <w:rPr>
      <w:sz w:val="18"/>
      <w:szCs w:val="18"/>
    </w:rPr>
  </w:style>
  <w:style w:type="paragraph" w:styleId="21">
    <w:name w:val="header"/>
    <w:basedOn w:val="1"/>
    <w:link w:val="5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unhideWhenUsed/>
    <w:qFormat/>
    <w:uiPriority w:val="39"/>
    <w:rPr>
      <w:sz w:val="28"/>
    </w:rPr>
  </w:style>
  <w:style w:type="paragraph" w:styleId="23">
    <w:name w:val="toc 4"/>
    <w:basedOn w:val="1"/>
    <w:next w:val="1"/>
    <w:autoRedefine/>
    <w:unhideWhenUsed/>
    <w:qFormat/>
    <w:uiPriority w:val="39"/>
    <w:pPr>
      <w:ind w:left="1260" w:leftChars="600"/>
    </w:pPr>
  </w:style>
  <w:style w:type="paragraph" w:styleId="24">
    <w:name w:val="toc 6"/>
    <w:basedOn w:val="1"/>
    <w:next w:val="1"/>
    <w:autoRedefine/>
    <w:unhideWhenUsed/>
    <w:qFormat/>
    <w:uiPriority w:val="39"/>
    <w:pPr>
      <w:ind w:left="2100" w:leftChars="1000"/>
    </w:pPr>
  </w:style>
  <w:style w:type="paragraph" w:styleId="25">
    <w:name w:val="toc 2"/>
    <w:basedOn w:val="1"/>
    <w:next w:val="1"/>
    <w:autoRedefine/>
    <w:unhideWhenUsed/>
    <w:qFormat/>
    <w:uiPriority w:val="39"/>
    <w:pPr>
      <w:ind w:left="420" w:leftChars="200"/>
    </w:pPr>
  </w:style>
  <w:style w:type="paragraph" w:styleId="26">
    <w:name w:val="toc 9"/>
    <w:basedOn w:val="1"/>
    <w:next w:val="1"/>
    <w:autoRedefine/>
    <w:unhideWhenUsed/>
    <w:qFormat/>
    <w:uiPriority w:val="39"/>
    <w:pPr>
      <w:ind w:left="3360" w:leftChars="1600"/>
    </w:pPr>
  </w:style>
  <w:style w:type="paragraph" w:styleId="27">
    <w:name w:val="Normal (Web)"/>
    <w:basedOn w:val="1"/>
    <w:autoRedefine/>
    <w:semiHidden/>
    <w:unhideWhenUsed/>
    <w:qFormat/>
    <w:uiPriority w:val="99"/>
    <w:pPr>
      <w:jc w:val="left"/>
    </w:pPr>
    <w:rPr>
      <w:rFonts w:cs="Times New Roman"/>
      <w:kern w:val="0"/>
      <w:sz w:val="24"/>
    </w:rPr>
  </w:style>
  <w:style w:type="table" w:styleId="29">
    <w:name w:val="Table Grid"/>
    <w:basedOn w:val="28"/>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qFormat/>
    <w:uiPriority w:val="0"/>
    <w:rPr>
      <w:rFonts w:cs="Times New Roman"/>
    </w:rPr>
  </w:style>
  <w:style w:type="character" w:styleId="32">
    <w:name w:val="FollowedHyperlink"/>
    <w:basedOn w:val="30"/>
    <w:autoRedefine/>
    <w:semiHidden/>
    <w:unhideWhenUsed/>
    <w:qFormat/>
    <w:uiPriority w:val="99"/>
    <w:rPr>
      <w:color w:val="800080"/>
      <w:u w:val="none"/>
    </w:rPr>
  </w:style>
  <w:style w:type="character" w:styleId="33">
    <w:name w:val="HTML Definition"/>
    <w:basedOn w:val="30"/>
    <w:autoRedefine/>
    <w:semiHidden/>
    <w:unhideWhenUsed/>
    <w:qFormat/>
    <w:uiPriority w:val="99"/>
  </w:style>
  <w:style w:type="character" w:styleId="34">
    <w:name w:val="HTML Typewriter"/>
    <w:basedOn w:val="30"/>
    <w:autoRedefine/>
    <w:semiHidden/>
    <w:unhideWhenUsed/>
    <w:qFormat/>
    <w:uiPriority w:val="99"/>
    <w:rPr>
      <w:rFonts w:hint="default" w:ascii="monospace" w:hAnsi="monospace" w:eastAsia="monospace" w:cs="monospace"/>
      <w:sz w:val="20"/>
    </w:rPr>
  </w:style>
  <w:style w:type="character" w:styleId="35">
    <w:name w:val="HTML Acronym"/>
    <w:basedOn w:val="30"/>
    <w:autoRedefine/>
    <w:semiHidden/>
    <w:unhideWhenUsed/>
    <w:qFormat/>
    <w:uiPriority w:val="99"/>
  </w:style>
  <w:style w:type="character" w:styleId="36">
    <w:name w:val="HTML Variable"/>
    <w:basedOn w:val="30"/>
    <w:autoRedefine/>
    <w:semiHidden/>
    <w:unhideWhenUsed/>
    <w:qFormat/>
    <w:uiPriority w:val="99"/>
  </w:style>
  <w:style w:type="character" w:styleId="37">
    <w:name w:val="Hyperlink"/>
    <w:basedOn w:val="30"/>
    <w:autoRedefine/>
    <w:unhideWhenUsed/>
    <w:qFormat/>
    <w:uiPriority w:val="99"/>
    <w:rPr>
      <w:color w:val="0000FF" w:themeColor="hyperlink"/>
      <w:u w:val="single"/>
      <w14:textFill>
        <w14:solidFill>
          <w14:schemeClr w14:val="hlink"/>
        </w14:solidFill>
      </w14:textFill>
    </w:rPr>
  </w:style>
  <w:style w:type="character" w:styleId="38">
    <w:name w:val="HTML Code"/>
    <w:basedOn w:val="30"/>
    <w:autoRedefine/>
    <w:semiHidden/>
    <w:unhideWhenUsed/>
    <w:qFormat/>
    <w:uiPriority w:val="99"/>
    <w:rPr>
      <w:rFonts w:ascii="monospace" w:hAnsi="monospace" w:eastAsia="monospace" w:cs="monospace"/>
      <w:sz w:val="20"/>
    </w:rPr>
  </w:style>
  <w:style w:type="character" w:styleId="39">
    <w:name w:val="HTML Cite"/>
    <w:basedOn w:val="30"/>
    <w:autoRedefine/>
    <w:semiHidden/>
    <w:unhideWhenUsed/>
    <w:qFormat/>
    <w:uiPriority w:val="99"/>
  </w:style>
  <w:style w:type="character" w:styleId="40">
    <w:name w:val="HTML Keyboard"/>
    <w:basedOn w:val="30"/>
    <w:autoRedefine/>
    <w:semiHidden/>
    <w:unhideWhenUsed/>
    <w:qFormat/>
    <w:uiPriority w:val="99"/>
    <w:rPr>
      <w:rFonts w:hint="default" w:ascii="monospace" w:hAnsi="monospace" w:eastAsia="monospace" w:cs="monospace"/>
      <w:sz w:val="20"/>
    </w:rPr>
  </w:style>
  <w:style w:type="character" w:styleId="41">
    <w:name w:val="HTML Sample"/>
    <w:basedOn w:val="30"/>
    <w:autoRedefine/>
    <w:semiHidden/>
    <w:unhideWhenUsed/>
    <w:qFormat/>
    <w:uiPriority w:val="99"/>
    <w:rPr>
      <w:rFonts w:hint="default" w:ascii="monospace" w:hAnsi="monospace" w:eastAsia="monospace" w:cs="monospace"/>
    </w:rPr>
  </w:style>
  <w:style w:type="paragraph" w:customStyle="1" w:styleId="42">
    <w:name w:val="正文_0"/>
    <w:next w:val="3"/>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3">
    <w:name w:val="标题 1 Char"/>
    <w:basedOn w:val="30"/>
    <w:link w:val="4"/>
    <w:qFormat/>
    <w:uiPriority w:val="9"/>
    <w:rPr>
      <w:rFonts w:ascii="Times New Roman" w:hAnsi="Times New Roman" w:eastAsia="黑体"/>
      <w:bCs/>
      <w:kern w:val="44"/>
      <w:sz w:val="36"/>
      <w:szCs w:val="44"/>
    </w:rPr>
  </w:style>
  <w:style w:type="character" w:customStyle="1" w:styleId="44">
    <w:name w:val="标题 2 Char"/>
    <w:basedOn w:val="30"/>
    <w:link w:val="5"/>
    <w:qFormat/>
    <w:uiPriority w:val="9"/>
    <w:rPr>
      <w:rFonts w:eastAsia="宋体" w:asciiTheme="majorHAnsi" w:hAnsiTheme="majorHAnsi" w:cstheme="majorBidi"/>
      <w:b/>
      <w:bCs/>
      <w:sz w:val="32"/>
      <w:szCs w:val="32"/>
    </w:rPr>
  </w:style>
  <w:style w:type="character" w:customStyle="1" w:styleId="45">
    <w:name w:val="标题 3 Char"/>
    <w:basedOn w:val="30"/>
    <w:link w:val="6"/>
    <w:qFormat/>
    <w:uiPriority w:val="9"/>
    <w:rPr>
      <w:rFonts w:ascii="Times New Roman" w:hAnsi="Times New Roman" w:eastAsia="宋体"/>
      <w:b/>
      <w:bCs/>
      <w:sz w:val="30"/>
      <w:szCs w:val="32"/>
    </w:rPr>
  </w:style>
  <w:style w:type="character" w:customStyle="1" w:styleId="46">
    <w:name w:val="批注文字 Char"/>
    <w:basedOn w:val="30"/>
    <w:link w:val="10"/>
    <w:semiHidden/>
    <w:qFormat/>
    <w:uiPriority w:val="99"/>
  </w:style>
  <w:style w:type="character" w:customStyle="1" w:styleId="47">
    <w:name w:val="正文文本 3 Char"/>
    <w:basedOn w:val="30"/>
    <w:link w:val="11"/>
    <w:qFormat/>
    <w:uiPriority w:val="0"/>
    <w:rPr>
      <w:rFonts w:ascii="宋体"/>
      <w:sz w:val="24"/>
      <w:szCs w:val="20"/>
    </w:rPr>
  </w:style>
  <w:style w:type="character" w:customStyle="1" w:styleId="48">
    <w:name w:val="正文文本 Char"/>
    <w:basedOn w:val="30"/>
    <w:link w:val="12"/>
    <w:qFormat/>
    <w:uiPriority w:val="0"/>
    <w:rPr>
      <w:rFonts w:ascii="@微软简标宋" w:hAnsi="@微软简标宋" w:eastAsia="@微软简标宋" w:cs="@微软简标宋"/>
      <w:szCs w:val="24"/>
      <w:lang w:val="zh-CN"/>
    </w:rPr>
  </w:style>
  <w:style w:type="character" w:customStyle="1" w:styleId="49">
    <w:name w:val="正文文本缩进 Char"/>
    <w:basedOn w:val="30"/>
    <w:link w:val="13"/>
    <w:qFormat/>
    <w:uiPriority w:val="0"/>
  </w:style>
  <w:style w:type="character" w:customStyle="1" w:styleId="50">
    <w:name w:val="批注框文本 Char"/>
    <w:basedOn w:val="30"/>
    <w:link w:val="19"/>
    <w:semiHidden/>
    <w:qFormat/>
    <w:uiPriority w:val="99"/>
    <w:rPr>
      <w:sz w:val="18"/>
      <w:szCs w:val="18"/>
    </w:rPr>
  </w:style>
  <w:style w:type="character" w:customStyle="1" w:styleId="51">
    <w:name w:val="页脚 Char"/>
    <w:basedOn w:val="30"/>
    <w:link w:val="20"/>
    <w:qFormat/>
    <w:uiPriority w:val="99"/>
    <w:rPr>
      <w:sz w:val="18"/>
      <w:szCs w:val="18"/>
    </w:rPr>
  </w:style>
  <w:style w:type="character" w:customStyle="1" w:styleId="52">
    <w:name w:val="页眉 Char"/>
    <w:basedOn w:val="30"/>
    <w:link w:val="21"/>
    <w:qFormat/>
    <w:uiPriority w:val="99"/>
    <w:rPr>
      <w:sz w:val="18"/>
      <w:szCs w:val="18"/>
    </w:rPr>
  </w:style>
  <w:style w:type="character" w:customStyle="1" w:styleId="53">
    <w:name w:val="正文首行缩进 2 Char"/>
    <w:basedOn w:val="49"/>
    <w:link w:val="3"/>
    <w:qFormat/>
    <w:uiPriority w:val="99"/>
  </w:style>
  <w:style w:type="paragraph" w:styleId="54">
    <w:name w:val="List Paragraph"/>
    <w:basedOn w:val="1"/>
    <w:autoRedefine/>
    <w:qFormat/>
    <w:uiPriority w:val="34"/>
    <w:pPr>
      <w:ind w:firstLine="420" w:firstLineChars="200"/>
    </w:pPr>
  </w:style>
  <w:style w:type="paragraph" w:customStyle="1" w:styleId="55">
    <w:name w:val="TOC 标题1"/>
    <w:basedOn w:val="4"/>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6">
    <w:name w:val="fontstyle01"/>
    <w:basedOn w:val="30"/>
    <w:autoRedefine/>
    <w:qFormat/>
    <w:uiPriority w:val="0"/>
    <w:rPr>
      <w:rFonts w:hint="eastAsia" w:ascii="宋体" w:hAnsi="宋体" w:eastAsia="宋体"/>
      <w:color w:val="000000"/>
      <w:sz w:val="32"/>
      <w:szCs w:val="32"/>
    </w:rPr>
  </w:style>
  <w:style w:type="paragraph" w:customStyle="1" w:styleId="57">
    <w:name w:val="WPSOffice手动目录 1"/>
    <w:autoRedefine/>
    <w:qFormat/>
    <w:uiPriority w:val="0"/>
    <w:rPr>
      <w:rFonts w:ascii="Times New Roman" w:hAnsi="Times New Roman" w:eastAsia="宋体" w:cs="Times New Roman"/>
      <w:lang w:val="en-US" w:eastAsia="zh-CN" w:bidi="ar-SA"/>
    </w:rPr>
  </w:style>
  <w:style w:type="paragraph" w:customStyle="1" w:styleId="58">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9">
    <w:name w:val="样式 仿宋_GB2312 行距: 固定值 20 磅"/>
    <w:basedOn w:val="1"/>
    <w:qFormat/>
    <w:uiPriority w:val="99"/>
    <w:pPr>
      <w:spacing w:line="320" w:lineRule="exact"/>
    </w:pPr>
    <w:rPr>
      <w:rFonts w:ascii="仿宋_GB2312" w:hAnsi="仿宋" w:eastAsia="仿宋_GB2312" w:cs="宋体"/>
      <w:szCs w:val="20"/>
    </w:rPr>
  </w:style>
  <w:style w:type="paragraph" w:customStyle="1" w:styleId="60">
    <w:name w:val="表格正文"/>
    <w:basedOn w:val="9"/>
    <w:next w:val="1"/>
    <w:autoRedefine/>
    <w:qFormat/>
    <w:uiPriority w:val="0"/>
    <w:pPr>
      <w:widowControl/>
      <w:spacing w:line="360" w:lineRule="exact"/>
      <w:ind w:firstLine="0" w:firstLineChars="0"/>
      <w:jc w:val="center"/>
    </w:pPr>
    <w:rPr>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11815</Words>
  <Characters>12980</Characters>
  <Lines>324</Lines>
  <Paragraphs>91</Paragraphs>
  <TotalTime>4</TotalTime>
  <ScaleCrop>false</ScaleCrop>
  <LinksUpToDate>false</LinksUpToDate>
  <CharactersWithSpaces>13210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85245</cp:lastModifiedBy>
  <cp:lastPrinted>2025-11-03T04:01:00Z</cp:lastPrinted>
  <dcterms:modified xsi:type="dcterms:W3CDTF">2026-08-26T06:18:47Z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917FCE98CC744ED99670930E4E3332B7_13</vt:lpwstr>
  </property>
  <property fmtid="{D5CDD505-2E9C-101B-9397-08002B2CF9AE}" pid="4" name="KSOTemplateDocerSaveRecord">
    <vt:lpwstr>eyJoZGlkIjoiODVhYzVmMWJmNTYzMDVhMWNiYTY0YWYwMTE5YmEzMDEifQ==</vt:lpwstr>
  </property>
</Properties>
</file>